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p w:rsidR="00000000" w:rsidDel="00000000" w:rsidP="00000000" w:rsidRDefault="00000000" w:rsidRPr="00000000" w14:paraId="00000003">
      <w:pPr>
        <w:spacing w:after="240" w:line="240" w:lineRule="auto"/>
        <w:jc w:val="center"/>
        <w:rPr>
          <w:b w:val="1"/>
          <w:smallCaps w:val="1"/>
        </w:rPr>
      </w:pPr>
      <w:r w:rsidDel="00000000" w:rsidR="00000000" w:rsidRPr="00000000">
        <w:rPr>
          <w:rtl w:val="0"/>
        </w:rPr>
      </w:r>
    </w:p>
    <w:p w:rsidR="00000000" w:rsidDel="00000000" w:rsidP="00000000" w:rsidRDefault="00000000" w:rsidRPr="00000000" w14:paraId="00000004">
      <w:pPr>
        <w:spacing w:after="240" w:before="240" w:line="240" w:lineRule="auto"/>
        <w:jc w:val="center"/>
        <w:rPr>
          <w:b w:val="1"/>
          <w:smallCaps w:val="1"/>
        </w:rPr>
      </w:pPr>
      <w:bookmarkStart w:colFirst="0" w:colLast="0" w:name="_heading=h.gjdgxs" w:id="0"/>
      <w:bookmarkEnd w:id="0"/>
      <w:r w:rsidDel="00000000" w:rsidR="00000000" w:rsidRPr="00000000">
        <w:rPr>
          <w:b w:val="1"/>
          <w:rtl w:val="0"/>
        </w:rPr>
        <w:t xml:space="preserve">THE MINISTER FOR THE CABINET OFFICE ON BEHALF OF THE CROWN REPRESENTED BY THE GOVERNMENT PROPERTY AGENCY</w:t>
      </w:r>
      <w:r w:rsidDel="00000000" w:rsidR="00000000" w:rsidRPr="00000000">
        <w:rPr>
          <w:rtl w:val="0"/>
        </w:rPr>
      </w:r>
    </w:p>
    <w:p w:rsidR="00000000" w:rsidDel="00000000" w:rsidP="00000000" w:rsidRDefault="00000000" w:rsidRPr="00000000" w14:paraId="00000005">
      <w:pPr>
        <w:spacing w:before="240"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6">
      <w:pPr>
        <w:spacing w:before="240" w:lineRule="auto"/>
        <w:jc w:val="center"/>
        <w:rPr>
          <w:b w:val="1"/>
          <w:smallCaps w:val="1"/>
        </w:rPr>
      </w:pPr>
      <w:r w:rsidDel="00000000" w:rsidR="00000000" w:rsidRPr="00000000">
        <w:rPr>
          <w:b w:val="1"/>
          <w:smallCaps w:val="1"/>
          <w:rtl w:val="0"/>
        </w:rPr>
        <w:t xml:space="preserve">ATALIAN SERVEST LIMITED</w:t>
      </w:r>
    </w:p>
    <w:p w:rsidR="00000000" w:rsidDel="00000000" w:rsidP="00000000" w:rsidRDefault="00000000" w:rsidRPr="00000000" w14:paraId="00000007">
      <w:pPr>
        <w:spacing w:after="240" w:before="240"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8">
      <w:pPr>
        <w:spacing w:after="240" w:before="240"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9">
      <w:pPr>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0A">
      <w:pPr>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0B">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C">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D">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E">
      <w:pPr>
        <w:rPr>
          <w:b w:val="1"/>
        </w:rPr>
      </w:pPr>
      <w:bookmarkStart w:colFirst="0" w:colLast="0" w:name="_heading=h.2p2csry" w:id="1"/>
      <w:bookmarkEnd w:id="1"/>
      <w:r w:rsidDel="00000000" w:rsidR="00000000" w:rsidRPr="00000000">
        <w:br w:type="page"/>
      </w:r>
      <w:r w:rsidDel="00000000" w:rsidR="00000000" w:rsidRPr="00000000">
        <w:rPr>
          <w:rtl w:val="0"/>
        </w:rPr>
      </w:r>
    </w:p>
    <w:p w:rsidR="00000000" w:rsidDel="00000000" w:rsidP="00000000" w:rsidRDefault="00000000" w:rsidRPr="00000000" w14:paraId="0000000F">
      <w:pPr>
        <w:jc w:val="center"/>
        <w:rPr/>
      </w:pPr>
      <w:r w:rsidDel="00000000" w:rsidR="00000000" w:rsidRPr="00000000">
        <w:rPr>
          <w:b w:val="1"/>
          <w:rtl w:val="0"/>
        </w:rPr>
        <w:t xml:space="preserve">CALL-OFF SCHEDULE 14</w:t>
      </w:r>
      <w:r w:rsidDel="00000000" w:rsidR="00000000" w:rsidRPr="00000000">
        <w:rPr>
          <w:rtl w:val="0"/>
        </w:rPr>
      </w:r>
    </w:p>
    <w:p w:rsidR="00000000" w:rsidDel="00000000" w:rsidP="00000000" w:rsidRDefault="00000000" w:rsidRPr="00000000" w14:paraId="00000010">
      <w:pPr>
        <w:keepNext w:val="1"/>
        <w:pBdr>
          <w:top w:space="0" w:sz="0" w:val="nil"/>
          <w:left w:space="0" w:sz="0" w:val="nil"/>
          <w:bottom w:space="0" w:sz="0" w:val="nil"/>
          <w:right w:space="0" w:sz="0" w:val="nil"/>
          <w:between w:space="0" w:sz="0" w:val="nil"/>
        </w:pBdr>
        <w:spacing w:after="240" w:line="240" w:lineRule="auto"/>
        <w:jc w:val="center"/>
        <w:rPr>
          <w:b w:val="1"/>
          <w:smallCaps w:val="1"/>
          <w:color w:val="000000"/>
        </w:rPr>
      </w:pPr>
      <w:r w:rsidDel="00000000" w:rsidR="00000000" w:rsidRPr="00000000">
        <w:rPr>
          <w:b w:val="1"/>
          <w:smallCaps w:val="1"/>
          <w:color w:val="000000"/>
          <w:rtl w:val="0"/>
        </w:rPr>
        <w:t xml:space="preserve"> KEY PERFORMANCE INDICATORS </w:t>
      </w:r>
    </w:p>
    <w:p w:rsidR="00000000" w:rsidDel="00000000" w:rsidP="00000000" w:rsidRDefault="00000000" w:rsidRPr="00000000" w14:paraId="00000011">
      <w:pPr>
        <w:keepNext w:val="1"/>
        <w:numPr>
          <w:ilvl w:val="0"/>
          <w:numId w:val="3"/>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jc w:val="both"/>
        <w:rPr>
          <w:b w:val="1"/>
          <w:smallCaps w:val="1"/>
          <w:color w:val="000000"/>
        </w:rPr>
      </w:pPr>
      <w:r w:rsidDel="00000000" w:rsidR="00000000" w:rsidRPr="00000000">
        <w:rPr>
          <w:b w:val="1"/>
          <w:smallCaps w:val="1"/>
          <w:color w:val="000000"/>
          <w:rtl w:val="0"/>
        </w:rPr>
        <w:t xml:space="preserve">definitions</w:t>
      </w:r>
    </w:p>
    <w:p w:rsidR="00000000" w:rsidDel="00000000" w:rsidP="00000000" w:rsidRDefault="00000000" w:rsidRPr="00000000" w14:paraId="00000012">
      <w:pPr>
        <w:keepNext w:val="1"/>
        <w:numPr>
          <w:ilvl w:val="1"/>
          <w:numId w:val="3"/>
        </w:numPr>
        <w:pBdr>
          <w:top w:space="0" w:sz="0" w:val="nil"/>
          <w:left w:space="0" w:sz="0" w:val="nil"/>
          <w:bottom w:space="0" w:sz="0" w:val="nil"/>
          <w:right w:space="0" w:sz="0" w:val="nil"/>
          <w:between w:space="0" w:sz="0" w:val="nil"/>
        </w:pBdr>
        <w:spacing w:after="120" w:before="120" w:line="240" w:lineRule="auto"/>
        <w:ind w:left="1440" w:hanging="720"/>
        <w:jc w:val="both"/>
        <w:rPr/>
      </w:pPr>
      <w:r w:rsidDel="00000000" w:rsidR="00000000" w:rsidRPr="00000000">
        <w:rPr>
          <w:color w:val="000000"/>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363.0" w:type="dxa"/>
        <w:jc w:val="left"/>
        <w:tblInd w:w="9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10"/>
        <w:gridCol w:w="5953"/>
        <w:tblGridChange w:id="0">
          <w:tblGrid>
            <w:gridCol w:w="2410"/>
            <w:gridCol w:w="5953"/>
          </w:tblGrid>
        </w:tblGridChange>
      </w:tblGrid>
      <w:tr>
        <w:trPr>
          <w:cantSplit w:val="0"/>
          <w:tblHeader w:val="0"/>
        </w:trPr>
        <w:tc>
          <w:tcPr>
            <w:shd w:fill="auto" w:val="clear"/>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"At Risk %"</w:t>
            </w:r>
          </w:p>
        </w:tc>
        <w:tc>
          <w:tcPr>
            <w:shd w:fill="auto" w:val="clear"/>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is 6%;</w:t>
            </w:r>
          </w:p>
        </w:tc>
      </w:tr>
      <w:tr>
        <w:trPr>
          <w:cantSplit w:val="0"/>
          <w:trHeight w:val="630" w:hRule="atLeast"/>
          <w:tblHeader w:val="0"/>
        </w:trPr>
        <w:tc>
          <w:tcPr>
            <w:shd w:fill="auto" w:val="clear"/>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"At Risk Amount"</w:t>
            </w:r>
          </w:p>
        </w:tc>
        <w:tc>
          <w:tcPr>
            <w:shd w:fill="auto" w:val="clear"/>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the amount calculated in accordance with Section 2 - Calculation of Monthly Value at Risk, of the Paymech Calc Overview tab of the Payment Mechanism;</w:t>
            </w:r>
          </w:p>
        </w:tc>
      </w:tr>
      <w:tr>
        <w:trPr>
          <w:cantSplit w:val="0"/>
          <w:trHeight w:val="630" w:hRule="atLeast"/>
          <w:tblHeader w:val="0"/>
        </w:trPr>
        <w:tc>
          <w:tcPr>
            <w:shd w:fill="auto" w:val="clear"/>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“Critical KPI Failure”</w:t>
            </w:r>
          </w:p>
        </w:tc>
        <w:tc>
          <w:tcPr>
            <w:shd w:fill="auto" w:val="clear"/>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has the meaning given to it in the Order Form;</w:t>
            </w:r>
          </w:p>
        </w:tc>
      </w:tr>
      <w:tr>
        <w:trPr>
          <w:cantSplit w:val="0"/>
          <w:trHeight w:val="423" w:hRule="atLeast"/>
          <w:tblHeader w:val="0"/>
        </w:trPr>
        <w:tc>
          <w:tcPr>
            <w:shd w:fill="auto" w:val="clear"/>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"Earn back"</w:t>
            </w:r>
          </w:p>
        </w:tc>
        <w:tc>
          <w:tcPr>
            <w:shd w:fill="auto" w:val="clear"/>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any entitlement of the Supplier to recover a proportion of  the KPI Performance Deductions pursuant to this Schedule as calculated in accordance with the Payment Mechanism;</w:t>
            </w:r>
          </w:p>
        </w:tc>
      </w:tr>
      <w:tr>
        <w:trPr>
          <w:cantSplit w:val="0"/>
          <w:trHeight w:val="540" w:hRule="atLeast"/>
          <w:tblHeader w:val="0"/>
        </w:trPr>
        <w:tc>
          <w:tcPr>
            <w:shd w:fill="auto" w:val="clear"/>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"Earn Back %"</w:t>
            </w:r>
          </w:p>
        </w:tc>
        <w:tc>
          <w:tcPr>
            <w:shd w:fill="auto" w:val="clear"/>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the percentage figure identified in the Payment Mechanism  and which shall be used to determine the proportion of a KPI Performance Deduction that the Supplier shall be entitled to recover (if any) as Earn Back;</w:t>
            </w:r>
          </w:p>
        </w:tc>
      </w:tr>
      <w:tr>
        <w:trPr>
          <w:cantSplit w:val="0"/>
          <w:trHeight w:val="540" w:hRule="atLeast"/>
          <w:tblHeader w:val="0"/>
        </w:trPr>
        <w:tc>
          <w:tcPr>
            <w:shd w:fill="auto" w:val="clear"/>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“Earn Back Cap”</w:t>
            </w:r>
          </w:p>
        </w:tc>
        <w:tc>
          <w:tcPr>
            <w:shd w:fill="auto" w:val="clear"/>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means in any one Service Period 10% of the value of all KPI Performance Deductions levied in the previous Service Period;</w:t>
            </w:r>
          </w:p>
        </w:tc>
      </w:tr>
      <w:tr>
        <w:trPr>
          <w:cantSplit w:val="0"/>
          <w:tblHeader w:val="0"/>
        </w:trPr>
        <w:tc>
          <w:tcPr>
            <w:shd w:fill="auto" w:val="clear"/>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"KPI At Risk Amount"</w:t>
            </w:r>
          </w:p>
        </w:tc>
        <w:tc>
          <w:tcPr>
            <w:shd w:fill="auto" w:val="clear"/>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means in relation to a KPI in respect of a Service Period, the amount calculated in accordance with Paragraph 3.3 of Part A of this Schedule;</w:t>
            </w:r>
          </w:p>
        </w:tc>
      </w:tr>
      <w:tr>
        <w:trPr>
          <w:cantSplit w:val="0"/>
          <w:tblHeader w:val="0"/>
        </w:trPr>
        <w:tc>
          <w:tcPr>
            <w:shd w:fill="auto" w:val="clear"/>
          </w:tcPr>
          <w:p w:rsidR="00000000" w:rsidDel="00000000" w:rsidP="00000000" w:rsidRDefault="00000000" w:rsidRPr="00000000" w14:paraId="00000021">
            <w:pPr>
              <w:keepNext w:val="1"/>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"KPI Category" </w:t>
            </w:r>
          </w:p>
        </w:tc>
        <w:tc>
          <w:tcPr>
            <w:shd w:fill="auto" w:val="clear"/>
          </w:tcPr>
          <w:p w:rsidR="00000000" w:rsidDel="00000000" w:rsidP="00000000" w:rsidRDefault="00000000" w:rsidRPr="00000000" w14:paraId="00000022">
            <w:pPr>
              <w:keepNext w:val="1"/>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means each of the categories in the column headed KPI Name in the Performance Criteria tab of the KPI Model;</w:t>
            </w:r>
          </w:p>
        </w:tc>
      </w:tr>
      <w:tr>
        <w:trPr>
          <w:cantSplit w:val="0"/>
          <w:tblHeader w:val="0"/>
        </w:trPr>
        <w:tc>
          <w:tcPr>
            <w:shd w:fill="auto" w:val="clear"/>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"KPI Category At Risk Amount"</w:t>
            </w:r>
          </w:p>
        </w:tc>
        <w:tc>
          <w:tcPr>
            <w:shd w:fill="auto" w:val="clear"/>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means in relation to a KPI Category in respect of a Service Period, the amount calculated in accordance with Paragraph 3.2 of Part A of this Schedule;</w:t>
            </w:r>
          </w:p>
        </w:tc>
      </w:tr>
      <w:tr>
        <w:trPr>
          <w:cantSplit w:val="0"/>
          <w:tblHeader w:val="0"/>
        </w:trPr>
        <w:tc>
          <w:tcPr>
            <w:shd w:fill="auto" w:val="clear"/>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"KPI Failure"</w:t>
            </w:r>
          </w:p>
        </w:tc>
        <w:tc>
          <w:tcPr>
            <w:shd w:fill="auto" w:val="clear"/>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means a failure to meet the KPI Performance Measure in respect of a KPI;</w:t>
            </w:r>
          </w:p>
        </w:tc>
      </w:tr>
      <w:tr>
        <w:trPr>
          <w:cantSplit w:val="0"/>
          <w:tblHeader w:val="0"/>
        </w:trPr>
        <w:tc>
          <w:tcPr>
            <w:shd w:fill="auto" w:val="clear"/>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"KPI Model"</w:t>
            </w:r>
          </w:p>
        </w:tc>
        <w:tc>
          <w:tcPr>
            <w:shd w:fill="auto" w:val="clear"/>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means the model comprised in the Excel worksheet - KPI Model, and attached in Annex C to Call-Off Schedule 22 (Call-Off Tender) to be used for calculating any adjustments to the  Charges as a result of the operation of the KPI regime in this Schedule;</w:t>
            </w:r>
          </w:p>
        </w:tc>
      </w:tr>
      <w:tr>
        <w:trPr>
          <w:cantSplit w:val="0"/>
          <w:tblHeader w:val="0"/>
        </w:trPr>
        <w:tc>
          <w:tcPr>
            <w:shd w:fill="auto" w:val="clear"/>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“KPI Performance Deductions”</w:t>
            </w:r>
          </w:p>
        </w:tc>
        <w:tc>
          <w:tcPr>
            <w:shd w:fill="auto" w:val="clear"/>
          </w:tcPr>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any KPI Performance Deductions specified in Annex C to Call-Off Schedule 22 (Call-Off Tender) being payable by the Supplier to the Buyer in respect of any failure by the Supplier to meet one or more KPIs;</w:t>
            </w:r>
          </w:p>
        </w:tc>
      </w:tr>
      <w:tr>
        <w:trPr>
          <w:cantSplit w:val="0"/>
          <w:tblHeader w:val="0"/>
        </w:trPr>
        <w:tc>
          <w:tcPr>
            <w:shd w:fill="auto" w:val="clear"/>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"KPI Performance Measure"</w:t>
            </w:r>
          </w:p>
        </w:tc>
        <w:tc>
          <w:tcPr>
            <w:shd w:fill="auto" w:val="clear"/>
          </w:tcPr>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shall be as set out against the relevant KPI in Annex C to Call-Off Schedule 22 (Call-Off Tender);</w:t>
            </w:r>
          </w:p>
        </w:tc>
      </w:tr>
      <w:tr>
        <w:trPr>
          <w:cantSplit w:val="0"/>
          <w:tblHeader w:val="0"/>
        </w:trPr>
        <w:tc>
          <w:tcPr>
            <w:shd w:fill="auto" w:val="clear"/>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“Payment Mechanism”</w:t>
            </w:r>
          </w:p>
        </w:tc>
        <w:tc>
          <w:tcPr>
            <w:shd w:fill="auto" w:val="clear"/>
          </w:tcPr>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means the payment mechanism set out in Annex D to C</w:t>
            </w:r>
            <w:r w:rsidDel="00000000" w:rsidR="00000000" w:rsidRPr="00000000">
              <w:rPr>
                <w:rtl w:val="0"/>
              </w:rPr>
              <w:t xml:space="preserve"> </w:t>
            </w:r>
            <w:r w:rsidDel="00000000" w:rsidR="00000000" w:rsidRPr="00000000">
              <w:rPr>
                <w:color w:val="000000"/>
                <w:rtl w:val="0"/>
              </w:rPr>
              <w:t xml:space="preserve">Call-Off Schedule 22 (Call-Off Tender);</w:t>
            </w:r>
          </w:p>
        </w:tc>
      </w:tr>
      <w:tr>
        <w:trPr>
          <w:cantSplit w:val="0"/>
          <w:trHeight w:val="702" w:hRule="atLeast"/>
          <w:tblHeader w:val="0"/>
        </w:trPr>
        <w:tc>
          <w:tcPr>
            <w:shd w:fill="auto" w:val="clear"/>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"Performance Monitoring Reports"</w:t>
            </w:r>
          </w:p>
        </w:tc>
        <w:tc>
          <w:tcPr>
            <w:shd w:fill="auto" w:val="clear"/>
          </w:tcPr>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shall have the meaning in Part B of this Schedule; </w:t>
            </w:r>
          </w:p>
        </w:tc>
      </w:tr>
      <w:tr>
        <w:trPr>
          <w:cantSplit w:val="0"/>
          <w:trHeight w:val="702" w:hRule="atLeast"/>
          <w:tblHeader w:val="0"/>
        </w:trPr>
        <w:tc>
          <w:tcPr>
            <w:shd w:fill="auto" w:val="clear"/>
          </w:tcPr>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"Performance Review Meetings"</w:t>
            </w:r>
          </w:p>
        </w:tc>
        <w:tc>
          <w:tcPr>
            <w:shd w:fill="auto" w:val="clear"/>
          </w:tcPr>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shall have the meaning in Part B of this Schedule; </w:t>
            </w:r>
          </w:p>
        </w:tc>
      </w:tr>
      <w:tr>
        <w:trPr>
          <w:cantSplit w:val="0"/>
          <w:trHeight w:val="423" w:hRule="atLeast"/>
          <w:tblHeader w:val="0"/>
        </w:trPr>
        <w:tc>
          <w:tcPr>
            <w:shd w:fill="auto" w:val="clear"/>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"Ratchet"</w:t>
            </w:r>
          </w:p>
        </w:tc>
        <w:tc>
          <w:tcPr>
            <w:shd w:fill="auto" w:val="clear"/>
          </w:tcPr>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shall have the meaning in Part A of this Schedule.</w:t>
            </w:r>
          </w:p>
        </w:tc>
      </w:tr>
    </w:tbl>
    <w:p w:rsidR="00000000" w:rsidDel="00000000" w:rsidP="00000000" w:rsidRDefault="00000000" w:rsidRPr="00000000" w14:paraId="00000035">
      <w:pPr>
        <w:keepNext w:val="1"/>
        <w:numPr>
          <w:ilvl w:val="0"/>
          <w:numId w:val="3"/>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jc w:val="both"/>
        <w:rPr>
          <w:b w:val="1"/>
          <w:smallCaps w:val="1"/>
          <w:color w:val="000000"/>
        </w:rPr>
      </w:pPr>
      <w:r w:rsidDel="00000000" w:rsidR="00000000" w:rsidRPr="00000000">
        <w:rPr>
          <w:b w:val="1"/>
          <w:smallCaps w:val="1"/>
          <w:color w:val="000000"/>
          <w:rtl w:val="0"/>
        </w:rPr>
        <w:t xml:space="preserve">KPI Agreement</w:t>
      </w:r>
    </w:p>
    <w:p w:rsidR="00000000" w:rsidDel="00000000" w:rsidP="00000000" w:rsidRDefault="00000000" w:rsidRPr="00000000" w14:paraId="00000036">
      <w:pPr>
        <w:numPr>
          <w:ilvl w:val="1"/>
          <w:numId w:val="3"/>
        </w:numPr>
        <w:pBdr>
          <w:top w:space="0" w:sz="0" w:val="nil"/>
          <w:left w:space="0" w:sz="0" w:val="nil"/>
          <w:bottom w:space="0" w:sz="0" w:val="nil"/>
          <w:right w:space="0" w:sz="0" w:val="nil"/>
          <w:between w:space="0" w:sz="0" w:val="nil"/>
        </w:pBdr>
        <w:spacing w:after="120" w:before="120" w:line="240" w:lineRule="auto"/>
        <w:ind w:left="1440" w:hanging="720"/>
        <w:jc w:val="both"/>
        <w:rPr>
          <w:rFonts w:ascii="Arial" w:cs="Arial" w:eastAsia="Arial" w:hAnsi="Arial"/>
          <w:color w:val="000000"/>
        </w:rPr>
      </w:pPr>
      <w:bookmarkStart w:colFirst="0" w:colLast="0" w:name="_heading=h.30j0zll" w:id="2"/>
      <w:bookmarkEnd w:id="2"/>
      <w:r w:rsidDel="00000000" w:rsidR="00000000" w:rsidRPr="00000000">
        <w:rPr>
          <w:color w:val="000000"/>
          <w:rtl w:val="0"/>
        </w:rPr>
        <w:t xml:space="preserve">The Supplier shall at all times provide the Deliverables to meet or exceed the KPI Performance Measure for each KPI. The KPIs are set out in the KPI Model. However, the performance indicators listed in the KPI Model which start with the term “</w:t>
      </w:r>
      <w:r w:rsidDel="00000000" w:rsidR="00000000" w:rsidRPr="00000000">
        <w:rPr>
          <w:i w:val="1"/>
          <w:color w:val="000000"/>
          <w:rtl w:val="0"/>
        </w:rPr>
        <w:t xml:space="preserve">(PI)</w:t>
      </w:r>
      <w:r w:rsidDel="00000000" w:rsidR="00000000" w:rsidRPr="00000000">
        <w:rPr>
          <w:color w:val="000000"/>
          <w:rtl w:val="0"/>
        </w:rPr>
        <w:t xml:space="preserve">” in the “Measure requirement” column shall not be KPIs for the purposes of the Contract unless and until the Buyer, in its absolute discretion, issues a written notice to the Supplier confirming that any and/or all of these performance indicators are KPIs. The KPI Model is supplemented by the model comprised in the Excel worksheet - Customer Safety &amp; Response Operational Services (Guarding) KPI Plain English, attached in Annex D1 to Call-Off Schedule 22 (Call-Off Tender), which is provided for information only to assist with the Supplier’s understanding of the KPI Model. If and insofar as there is any ambiguity or inconsistency between the two models, the KPI Model shall take priority.</w:t>
      </w:r>
      <w:r w:rsidDel="00000000" w:rsidR="00000000" w:rsidRPr="00000000">
        <w:rPr>
          <w:rtl w:val="0"/>
        </w:rPr>
      </w:r>
    </w:p>
    <w:p w:rsidR="00000000" w:rsidDel="00000000" w:rsidP="00000000" w:rsidRDefault="00000000" w:rsidRPr="00000000" w14:paraId="00000037">
      <w:pPr>
        <w:numPr>
          <w:ilvl w:val="1"/>
          <w:numId w:val="3"/>
        </w:numPr>
        <w:pBdr>
          <w:top w:space="0" w:sz="0" w:val="nil"/>
          <w:left w:space="0" w:sz="0" w:val="nil"/>
          <w:bottom w:space="0" w:sz="0" w:val="nil"/>
          <w:right w:space="0" w:sz="0" w:val="nil"/>
          <w:between w:space="0" w:sz="0" w:val="nil"/>
        </w:pBdr>
        <w:spacing w:after="120" w:before="120" w:line="240" w:lineRule="auto"/>
        <w:ind w:left="1440" w:hanging="720"/>
        <w:jc w:val="both"/>
        <w:rPr>
          <w:rFonts w:ascii="Arial" w:cs="Arial" w:eastAsia="Arial" w:hAnsi="Arial"/>
          <w:color w:val="000000"/>
        </w:rPr>
      </w:pPr>
      <w:r w:rsidDel="00000000" w:rsidR="00000000" w:rsidRPr="00000000">
        <w:rPr>
          <w:color w:val="000000"/>
          <w:rtl w:val="0"/>
        </w:rPr>
        <w:t xml:space="preserve">Subject to paragraph 2.2A, the Supplier acknowledges that any KPI Failure shall entitle the Buyer to the rights set out in Part A of this Schedule including the right to any KPI Performance Deductions and that any KPI Performance Deduction is a price adjustment and not an estimate of the Loss that may be suffered by the Buyer as a result of the Supplier’s failure to meet any KPI Performance Measure.</w:t>
      </w:r>
      <w:r w:rsidDel="00000000" w:rsidR="00000000" w:rsidRPr="00000000">
        <w:rPr>
          <w:rtl w:val="0"/>
        </w:rPr>
      </w:r>
    </w:p>
    <w:p w:rsidR="00000000" w:rsidDel="00000000" w:rsidP="00000000" w:rsidRDefault="00000000" w:rsidRPr="00000000" w14:paraId="00000038">
      <w:pPr>
        <w:spacing w:after="120" w:before="120" w:line="240" w:lineRule="auto"/>
        <w:ind w:left="1418" w:hanging="709"/>
        <w:rPr/>
      </w:pPr>
      <w:r w:rsidDel="00000000" w:rsidR="00000000" w:rsidRPr="00000000">
        <w:rPr>
          <w:rtl w:val="0"/>
        </w:rPr>
        <w:t xml:space="preserve">2.2A</w:t>
        <w:tab/>
        <w:t xml:space="preserve">The Buyer shall not be entitled to the rights set out in Part A of this Schedule including the right to any KPI Performance Deductions during the first three (3) months of this Contract (the “</w:t>
      </w:r>
      <w:r w:rsidDel="00000000" w:rsidR="00000000" w:rsidRPr="00000000">
        <w:rPr>
          <w:b w:val="1"/>
          <w:rtl w:val="0"/>
        </w:rPr>
        <w:t xml:space="preserve">Honeymoon Period</w:t>
      </w:r>
      <w:r w:rsidDel="00000000" w:rsidR="00000000" w:rsidRPr="00000000">
        <w:rPr>
          <w:rtl w:val="0"/>
        </w:rPr>
        <w:t xml:space="preserve">”). However, the Supplier shall be deemed to have committed a Critical KPI Failure where the Supplier fails to meet the KPI Performance Measure during the Honeymoon Period and this failure continues in the first Service Period after the Honeymoon Period.</w:t>
      </w:r>
    </w:p>
    <w:p w:rsidR="00000000" w:rsidDel="00000000" w:rsidP="00000000" w:rsidRDefault="00000000" w:rsidRPr="00000000" w14:paraId="00000039">
      <w:pPr>
        <w:numPr>
          <w:ilvl w:val="1"/>
          <w:numId w:val="3"/>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The Supplier shall send Performance Monitoring Reports to the Buyer (detailing the level of service which was achieved) in accordance with the provisions of Part B (Performance Monitoring) of this Schedule.</w:t>
      </w:r>
    </w:p>
    <w:p w:rsidR="00000000" w:rsidDel="00000000" w:rsidP="00000000" w:rsidRDefault="00000000" w:rsidRPr="00000000" w14:paraId="0000003A">
      <w:pPr>
        <w:keepNext w:val="1"/>
        <w:numPr>
          <w:ilvl w:val="1"/>
          <w:numId w:val="3"/>
        </w:numPr>
        <w:pBdr>
          <w:top w:space="0" w:sz="0" w:val="nil"/>
          <w:left w:space="0" w:sz="0" w:val="nil"/>
          <w:bottom w:space="0" w:sz="0" w:val="nil"/>
          <w:right w:space="0" w:sz="0" w:val="nil"/>
          <w:between w:space="0" w:sz="0" w:val="nil"/>
        </w:pBdr>
        <w:spacing w:after="120" w:before="120" w:line="240" w:lineRule="auto"/>
        <w:ind w:left="1440" w:hanging="720"/>
        <w:jc w:val="both"/>
        <w:rPr>
          <w:rFonts w:ascii="Arial" w:cs="Arial" w:eastAsia="Arial" w:hAnsi="Arial"/>
          <w:color w:val="000000"/>
        </w:rPr>
      </w:pPr>
      <w:r w:rsidDel="00000000" w:rsidR="00000000" w:rsidRPr="00000000">
        <w:rPr>
          <w:color w:val="000000"/>
          <w:rtl w:val="0"/>
        </w:rPr>
        <w:t xml:space="preserve">A KPI Performance Deduction shall be the Buyer’s exclusive financial remedy for a KPI Failure except where:</w:t>
      </w:r>
      <w:r w:rsidDel="00000000" w:rsidR="00000000" w:rsidRPr="00000000">
        <w:rPr>
          <w:rtl w:val="0"/>
        </w:rPr>
      </w:r>
    </w:p>
    <w:p w:rsidR="00000000" w:rsidDel="00000000" w:rsidP="00000000" w:rsidRDefault="00000000" w:rsidRPr="00000000" w14:paraId="0000003B">
      <w:pPr>
        <w:keepNext w:val="1"/>
        <w:numPr>
          <w:ilvl w:val="2"/>
          <w:numId w:val="3"/>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the Supplier has over the previous (twelve) 12 Month period exceeded the  At Risk %; and/or</w:t>
      </w:r>
    </w:p>
    <w:p w:rsidR="00000000" w:rsidDel="00000000" w:rsidP="00000000" w:rsidRDefault="00000000" w:rsidRPr="00000000" w14:paraId="0000003C">
      <w:pPr>
        <w:keepNext w:val="1"/>
        <w:numPr>
          <w:ilvl w:val="2"/>
          <w:numId w:val="3"/>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the KPI Failure:</w:t>
      </w:r>
    </w:p>
    <w:p w:rsidR="00000000" w:rsidDel="00000000" w:rsidP="00000000" w:rsidRDefault="00000000" w:rsidRPr="00000000" w14:paraId="0000003D">
      <w:pPr>
        <w:numPr>
          <w:ilvl w:val="3"/>
          <w:numId w:val="3"/>
        </w:numPr>
        <w:pBdr>
          <w:top w:space="0" w:sz="0" w:val="nil"/>
          <w:left w:space="0" w:sz="0" w:val="nil"/>
          <w:bottom w:space="0" w:sz="0" w:val="nil"/>
          <w:right w:space="0" w:sz="0" w:val="nil"/>
          <w:between w:space="0" w:sz="0" w:val="nil"/>
        </w:pBdr>
        <w:spacing w:after="120" w:before="120" w:line="240" w:lineRule="auto"/>
        <w:ind w:left="2880" w:hanging="720"/>
        <w:jc w:val="both"/>
        <w:rPr>
          <w:color w:val="000000"/>
        </w:rPr>
      </w:pPr>
      <w:r w:rsidDel="00000000" w:rsidR="00000000" w:rsidRPr="00000000">
        <w:rPr>
          <w:color w:val="000000"/>
          <w:rtl w:val="0"/>
        </w:rPr>
        <w:t xml:space="preserve">has arisen due to a Prohibited Act or wilful Default by the Supplier; </w:t>
      </w:r>
    </w:p>
    <w:p w:rsidR="00000000" w:rsidDel="00000000" w:rsidP="00000000" w:rsidRDefault="00000000" w:rsidRPr="00000000" w14:paraId="0000003E">
      <w:pPr>
        <w:numPr>
          <w:ilvl w:val="3"/>
          <w:numId w:val="3"/>
        </w:numPr>
        <w:pBdr>
          <w:top w:space="0" w:sz="0" w:val="nil"/>
          <w:left w:space="0" w:sz="0" w:val="nil"/>
          <w:bottom w:space="0" w:sz="0" w:val="nil"/>
          <w:right w:space="0" w:sz="0" w:val="nil"/>
          <w:between w:space="0" w:sz="0" w:val="nil"/>
        </w:pBdr>
        <w:spacing w:after="120" w:before="120" w:line="240" w:lineRule="auto"/>
        <w:ind w:left="2880" w:hanging="720"/>
        <w:jc w:val="both"/>
        <w:rPr>
          <w:color w:val="000000"/>
        </w:rPr>
      </w:pPr>
      <w:r w:rsidDel="00000000" w:rsidR="00000000" w:rsidRPr="00000000">
        <w:rPr>
          <w:color w:val="000000"/>
          <w:rtl w:val="0"/>
        </w:rPr>
        <w:t xml:space="preserve">results in the corruption or loss of any Government Data; and/or</w:t>
      </w:r>
    </w:p>
    <w:p w:rsidR="00000000" w:rsidDel="00000000" w:rsidP="00000000" w:rsidRDefault="00000000" w:rsidRPr="00000000" w14:paraId="0000003F">
      <w:pPr>
        <w:numPr>
          <w:ilvl w:val="3"/>
          <w:numId w:val="3"/>
        </w:numPr>
        <w:pBdr>
          <w:top w:space="0" w:sz="0" w:val="nil"/>
          <w:left w:space="0" w:sz="0" w:val="nil"/>
          <w:bottom w:space="0" w:sz="0" w:val="nil"/>
          <w:right w:space="0" w:sz="0" w:val="nil"/>
          <w:between w:space="0" w:sz="0" w:val="nil"/>
        </w:pBdr>
        <w:spacing w:after="120" w:before="120" w:line="240" w:lineRule="auto"/>
        <w:ind w:left="2880" w:hanging="720"/>
        <w:jc w:val="both"/>
        <w:rPr>
          <w:color w:val="000000"/>
        </w:rPr>
      </w:pPr>
      <w:r w:rsidDel="00000000" w:rsidR="00000000" w:rsidRPr="00000000">
        <w:rPr>
          <w:color w:val="000000"/>
          <w:rtl w:val="0"/>
        </w:rPr>
        <w:t xml:space="preserve">results in the Buyer being required to make a compensation payment to one or more third parties; and/or</w:t>
      </w:r>
    </w:p>
    <w:p w:rsidR="00000000" w:rsidDel="00000000" w:rsidP="00000000" w:rsidRDefault="00000000" w:rsidRPr="00000000" w14:paraId="00000040">
      <w:pPr>
        <w:numPr>
          <w:ilvl w:val="2"/>
          <w:numId w:val="3"/>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a Critical KPI Failure occurs and/or the Buyer is otherwise entitled to or does terminate this Contract pursuant to Clause 10.4 (When CCS or the buyer can end a contract).</w:t>
      </w:r>
    </w:p>
    <w:p w:rsidR="00000000" w:rsidDel="00000000" w:rsidP="00000000" w:rsidRDefault="00000000" w:rsidRPr="00000000" w14:paraId="00000041">
      <w:pPr>
        <w:numPr>
          <w:ilvl w:val="1"/>
          <w:numId w:val="3"/>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bookmarkStart w:colFirst="0" w:colLast="0" w:name="_heading=h.1fob9te" w:id="3"/>
      <w:bookmarkEnd w:id="3"/>
      <w:r w:rsidDel="00000000" w:rsidR="00000000" w:rsidRPr="00000000">
        <w:rPr>
          <w:color w:val="000000"/>
          <w:rtl w:val="0"/>
        </w:rPr>
        <w:t xml:space="preserve">Either Party may, on giving the other Party at least three (3) Months’ notice, propose a change to the weighting of a KPI Performance Measure in respect of one or more KPIs. Any such proposed change shall explain the business case for the change and shall follow the Variation process set out in Clause 24 of the Core Terms provided that the Supplier shall not be entitled to object to, or increase the Charges as a result of such changes, provided that:</w:t>
      </w:r>
    </w:p>
    <w:p w:rsidR="00000000" w:rsidDel="00000000" w:rsidP="00000000" w:rsidRDefault="00000000" w:rsidRPr="00000000" w14:paraId="00000042">
      <w:pPr>
        <w:numPr>
          <w:ilvl w:val="2"/>
          <w:numId w:val="3"/>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the total number of KPIs for which the weighting is to be changed does not exceed the number applicable as at the Start Date;</w:t>
      </w:r>
    </w:p>
    <w:p w:rsidR="00000000" w:rsidDel="00000000" w:rsidP="00000000" w:rsidRDefault="00000000" w:rsidRPr="00000000" w14:paraId="00000043">
      <w:pPr>
        <w:numPr>
          <w:ilvl w:val="2"/>
          <w:numId w:val="3"/>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the principal purpose of the change is at least one of the following: to reflect changes in the Buyer's business requirements and/or priorities and/or to reflect changing industry standards and/or to incentivise the Supplier to improve its performance in a particular area(s); and</w:t>
      </w:r>
    </w:p>
    <w:p w:rsidR="00000000" w:rsidDel="00000000" w:rsidP="00000000" w:rsidRDefault="00000000" w:rsidRPr="00000000" w14:paraId="00000044">
      <w:pPr>
        <w:numPr>
          <w:ilvl w:val="2"/>
          <w:numId w:val="3"/>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there is no change to the At Risk %.</w:t>
      </w:r>
    </w:p>
    <w:p w:rsidR="00000000" w:rsidDel="00000000" w:rsidP="00000000" w:rsidRDefault="00000000" w:rsidRPr="00000000" w14:paraId="00000045">
      <w:pPr>
        <w:keepNext w:val="1"/>
        <w:numPr>
          <w:ilvl w:val="0"/>
          <w:numId w:val="3"/>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jc w:val="both"/>
        <w:rPr>
          <w:b w:val="1"/>
          <w:smallCaps w:val="1"/>
          <w:color w:val="000000"/>
        </w:rPr>
      </w:pPr>
      <w:bookmarkStart w:colFirst="0" w:colLast="0" w:name="_heading=h.3znysh7" w:id="4"/>
      <w:bookmarkEnd w:id="4"/>
      <w:r w:rsidDel="00000000" w:rsidR="00000000" w:rsidRPr="00000000">
        <w:rPr>
          <w:b w:val="1"/>
          <w:smallCaps w:val="1"/>
          <w:color w:val="000000"/>
          <w:rtl w:val="0"/>
        </w:rPr>
        <w:t xml:space="preserve">Critical KPI Failure </w:t>
      </w:r>
    </w:p>
    <w:p w:rsidR="00000000" w:rsidDel="00000000" w:rsidP="00000000" w:rsidRDefault="00000000" w:rsidRPr="00000000" w14:paraId="00000046">
      <w:pPr>
        <w:keepNext w:val="1"/>
        <w:pBdr>
          <w:top w:space="0" w:sz="0" w:val="nil"/>
          <w:left w:space="0" w:sz="0" w:val="nil"/>
          <w:bottom w:space="0" w:sz="0" w:val="nil"/>
          <w:right w:space="0" w:sz="0" w:val="nil"/>
          <w:between w:space="0" w:sz="0" w:val="nil"/>
        </w:pBdr>
        <w:spacing w:after="120" w:before="120" w:line="240" w:lineRule="auto"/>
        <w:ind w:left="360" w:hanging="576"/>
        <w:jc w:val="both"/>
        <w:rPr>
          <w:color w:val="000000"/>
        </w:rPr>
      </w:pPr>
      <w:bookmarkStart w:colFirst="0" w:colLast="0" w:name="_heading=h.2et92p0" w:id="5"/>
      <w:bookmarkEnd w:id="5"/>
      <w:r w:rsidDel="00000000" w:rsidR="00000000" w:rsidRPr="00000000">
        <w:rPr>
          <w:color w:val="000000"/>
          <w:rtl w:val="0"/>
        </w:rPr>
        <w:t xml:space="preserve">On the occurrence of a Critical KPI Failure:</w:t>
      </w:r>
    </w:p>
    <w:p w:rsidR="00000000" w:rsidDel="00000000" w:rsidP="00000000" w:rsidRDefault="00000000" w:rsidRPr="00000000" w14:paraId="00000047">
      <w:pPr>
        <w:numPr>
          <w:ilvl w:val="1"/>
          <w:numId w:val="3"/>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any KPI Performance Deductions that would otherwise have accrued during the relevant Service Period shall not accrue; and</w:t>
      </w:r>
    </w:p>
    <w:p w:rsidR="00000000" w:rsidDel="00000000" w:rsidP="00000000" w:rsidRDefault="00000000" w:rsidRPr="00000000" w14:paraId="00000048">
      <w:pPr>
        <w:numPr>
          <w:ilvl w:val="1"/>
          <w:numId w:val="3"/>
        </w:numPr>
        <w:pBdr>
          <w:top w:space="0" w:sz="0" w:val="nil"/>
          <w:left w:space="0" w:sz="0" w:val="nil"/>
          <w:bottom w:space="0" w:sz="0" w:val="nil"/>
          <w:right w:space="0" w:sz="0" w:val="nil"/>
          <w:between w:space="0" w:sz="0" w:val="nil"/>
        </w:pBdr>
        <w:spacing w:after="220" w:before="120" w:line="240" w:lineRule="auto"/>
        <w:ind w:left="1440" w:hanging="720"/>
        <w:jc w:val="both"/>
        <w:rPr>
          <w:color w:val="000000"/>
        </w:rPr>
      </w:pPr>
      <w:r w:rsidDel="00000000" w:rsidR="00000000" w:rsidRPr="00000000">
        <w:rPr>
          <w:color w:val="000000"/>
          <w:rtl w:val="0"/>
        </w:rPr>
        <w:t xml:space="preserve">the Buyer shall (subject to the  At Risk %) be entitled to withhold and retain as compensation a sum equal to any Charges which would otherwise have been due to the Supplier in respect of that Service Period ("</w:t>
      </w:r>
      <w:r w:rsidDel="00000000" w:rsidR="00000000" w:rsidRPr="00000000">
        <w:rPr>
          <w:b w:val="1"/>
          <w:color w:val="000000"/>
          <w:rtl w:val="0"/>
        </w:rPr>
        <w:t xml:space="preserve">Compensation for Critical KPI Failure</w:t>
      </w:r>
      <w:r w:rsidDel="00000000" w:rsidR="00000000" w:rsidRPr="00000000">
        <w:rPr>
          <w:color w:val="000000"/>
          <w:rtl w:val="0"/>
        </w:rPr>
        <w:t xml:space="preserve">"),</w:t>
      </w:r>
    </w:p>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220" w:before="120" w:line="240" w:lineRule="auto"/>
        <w:ind w:left="720" w:firstLine="0"/>
        <w:jc w:val="both"/>
        <w:rPr>
          <w:color w:val="000000"/>
        </w:rPr>
      </w:pPr>
      <w:r w:rsidDel="00000000" w:rsidR="00000000" w:rsidRPr="00000000">
        <w:rPr>
          <w:color w:val="000000"/>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142"/>
        </w:tabs>
        <w:spacing w:after="120" w:before="240" w:line="240" w:lineRule="auto"/>
        <w:ind w:left="426" w:hanging="360"/>
        <w:jc w:val="both"/>
        <w:rPr>
          <w:b w:val="1"/>
          <w:smallCaps w:val="1"/>
          <w:color w:val="000000"/>
        </w:rPr>
      </w:pPr>
      <w:r w:rsidDel="00000000" w:rsidR="00000000" w:rsidRPr="00000000">
        <w:rPr>
          <w:rtl w:val="0"/>
        </w:rPr>
      </w:r>
    </w:p>
    <w:p w:rsidR="00000000" w:rsidDel="00000000" w:rsidP="00000000" w:rsidRDefault="00000000" w:rsidRPr="00000000" w14:paraId="0000004B">
      <w:pPr>
        <w:keepNext w:val="1"/>
        <w:pBdr>
          <w:top w:space="0" w:sz="0" w:val="nil"/>
          <w:left w:space="0" w:sz="0" w:val="nil"/>
          <w:bottom w:space="0" w:sz="0" w:val="nil"/>
          <w:right w:space="0" w:sz="0" w:val="nil"/>
          <w:between w:space="0" w:sz="0" w:val="nil"/>
        </w:pBdr>
        <w:spacing w:after="240" w:line="240" w:lineRule="auto"/>
        <w:jc w:val="center"/>
        <w:rPr>
          <w:b w:val="1"/>
          <w:smallCaps w:val="1"/>
          <w:color w:val="000000"/>
        </w:rPr>
      </w:pPr>
      <w:bookmarkStart w:colFirst="0" w:colLast="0" w:name="_heading=h.tyjcwt" w:id="6"/>
      <w:bookmarkEnd w:id="6"/>
      <w:r w:rsidDel="00000000" w:rsidR="00000000" w:rsidRPr="00000000">
        <w:br w:type="page"/>
      </w:r>
      <w:r w:rsidDel="00000000" w:rsidR="00000000" w:rsidRPr="00000000">
        <w:rPr>
          <w:b w:val="1"/>
          <w:smallCaps w:val="1"/>
          <w:color w:val="000000"/>
          <w:rtl w:val="0"/>
        </w:rPr>
        <w:t xml:space="preserve">PART A: KPIS AND KPI PERFORMANCE DEDUCTIONS </w:t>
      </w:r>
    </w:p>
    <w:p w:rsidR="00000000" w:rsidDel="00000000" w:rsidP="00000000" w:rsidRDefault="00000000" w:rsidRPr="00000000" w14:paraId="0000004C">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360" w:hanging="360"/>
        <w:jc w:val="both"/>
        <w:rPr>
          <w:b w:val="1"/>
          <w:smallCaps w:val="1"/>
          <w:color w:val="000000"/>
        </w:rPr>
      </w:pPr>
      <w:r w:rsidDel="00000000" w:rsidR="00000000" w:rsidRPr="00000000">
        <w:rPr>
          <w:b w:val="1"/>
          <w:smallCaps w:val="1"/>
          <w:color w:val="000000"/>
          <w:rtl w:val="0"/>
        </w:rPr>
        <w:t xml:space="preserve">KPIS</w:t>
      </w:r>
    </w:p>
    <w:p w:rsidR="00000000" w:rsidDel="00000000" w:rsidP="00000000" w:rsidRDefault="00000000" w:rsidRPr="00000000" w14:paraId="0000004D">
      <w:pPr>
        <w:keepNext w:val="1"/>
        <w:pBdr>
          <w:top w:space="0" w:sz="0" w:val="nil"/>
          <w:left w:space="0" w:sz="0" w:val="nil"/>
          <w:bottom w:space="0" w:sz="0" w:val="nil"/>
          <w:right w:space="0" w:sz="0" w:val="nil"/>
          <w:between w:space="0" w:sz="0" w:val="nil"/>
        </w:pBdr>
        <w:spacing w:after="120" w:before="120" w:line="240" w:lineRule="auto"/>
        <w:ind w:left="360" w:hanging="576"/>
        <w:jc w:val="both"/>
        <w:rPr>
          <w:color w:val="000000"/>
        </w:rPr>
      </w:pPr>
      <w:bookmarkStart w:colFirst="0" w:colLast="0" w:name="_heading=h.3dy6vkm" w:id="7"/>
      <w:bookmarkEnd w:id="7"/>
      <w:r w:rsidDel="00000000" w:rsidR="00000000" w:rsidRPr="00000000">
        <w:rPr>
          <w:color w:val="000000"/>
          <w:rtl w:val="0"/>
        </w:rPr>
        <w:t xml:space="preserve">If the level of performance of the Supplier:</w:t>
      </w:r>
    </w:p>
    <w:p w:rsidR="00000000" w:rsidDel="00000000" w:rsidP="00000000" w:rsidRDefault="00000000" w:rsidRPr="00000000" w14:paraId="0000004E">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is likely to or fails to meet any KPI Performance Measure; or</w:t>
      </w:r>
    </w:p>
    <w:p w:rsidR="00000000" w:rsidDel="00000000" w:rsidP="00000000" w:rsidRDefault="00000000" w:rsidRPr="00000000" w14:paraId="0000004F">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bookmarkStart w:colFirst="0" w:colLast="0" w:name="_heading=h.49x2ik5" w:id="8"/>
      <w:bookmarkEnd w:id="8"/>
      <w:r w:rsidDel="00000000" w:rsidR="00000000" w:rsidRPr="00000000">
        <w:rPr>
          <w:color w:val="000000"/>
          <w:rtl w:val="0"/>
        </w:rPr>
        <w:t xml:space="preserve">is likely to cause or causes a Critical KPI Failure to occur,</w:t>
      </w:r>
    </w:p>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120" w:before="120" w:line="240" w:lineRule="auto"/>
        <w:ind w:left="720" w:firstLine="0"/>
        <w:jc w:val="both"/>
        <w:rPr>
          <w:color w:val="000000"/>
        </w:rPr>
      </w:pPr>
      <w:r w:rsidDel="00000000" w:rsidR="00000000" w:rsidRPr="00000000">
        <w:rPr>
          <w:color w:val="000000"/>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51">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pPr>
      <w:bookmarkStart w:colFirst="0" w:colLast="0" w:name="_heading=h.1t3h5sf" w:id="9"/>
      <w:bookmarkEnd w:id="9"/>
      <w:r w:rsidDel="00000000" w:rsidR="00000000" w:rsidRPr="00000000">
        <w:rPr>
          <w:color w:val="000000"/>
          <w:rtl w:val="0"/>
        </w:rPr>
        <w:t xml:space="preserve">require the Supplier to immediately take all preventative and/or remedial action that is reasonable to mitigate the impact on the Buyer and to rectify or prevent a KPI Failure or Critical KPI Failure from taking place or recurring; </w:t>
      </w:r>
      <w:r w:rsidDel="00000000" w:rsidR="00000000" w:rsidRPr="00000000">
        <w:rPr>
          <w:rtl w:val="0"/>
        </w:rPr>
      </w:r>
    </w:p>
    <w:p w:rsidR="00000000" w:rsidDel="00000000" w:rsidP="00000000" w:rsidRDefault="00000000" w:rsidRPr="00000000" w14:paraId="00000052">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pPr>
      <w:bookmarkStart w:colFirst="0" w:colLast="0" w:name="_heading=h.4d34og8" w:id="10"/>
      <w:bookmarkEnd w:id="10"/>
      <w:r w:rsidDel="00000000" w:rsidR="00000000" w:rsidRPr="00000000">
        <w:rPr>
          <w:color w:val="000000"/>
          <w:rtl w:val="0"/>
        </w:rPr>
        <w:t xml:space="preserve">instruct the Supplier to comply with the Rectification Plan Process; </w:t>
      </w:r>
      <w:r w:rsidDel="00000000" w:rsidR="00000000" w:rsidRPr="00000000">
        <w:rPr>
          <w:rtl w:val="0"/>
        </w:rPr>
      </w:r>
    </w:p>
    <w:p w:rsidR="00000000" w:rsidDel="00000000" w:rsidP="00000000" w:rsidRDefault="00000000" w:rsidRPr="00000000" w14:paraId="00000053">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pPr>
      <w:r w:rsidDel="00000000" w:rsidR="00000000" w:rsidRPr="00000000">
        <w:rPr>
          <w:color w:val="000000"/>
          <w:rtl w:val="0"/>
        </w:rPr>
        <w:t xml:space="preserve">if a KPI Failure has occurred, deduct the applicable KPI Performance Deductions payable by the Supplier to the Buyer; and/or</w:t>
      </w:r>
      <w:r w:rsidDel="00000000" w:rsidR="00000000" w:rsidRPr="00000000">
        <w:rPr>
          <w:rtl w:val="0"/>
        </w:rPr>
      </w:r>
    </w:p>
    <w:p w:rsidR="00000000" w:rsidDel="00000000" w:rsidP="00000000" w:rsidRDefault="00000000" w:rsidRPr="00000000" w14:paraId="00000054">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pPr>
      <w:r w:rsidDel="00000000" w:rsidR="00000000" w:rsidRPr="00000000">
        <w:rPr>
          <w:color w:val="000000"/>
          <w:rtl w:val="0"/>
        </w:rPr>
        <w:t xml:space="preserve">if a Critical KPI Failure has occurred, exercise its right to Compensation for Critical KPI Failure (including the right to terminate for material Default).</w:t>
      </w:r>
      <w:r w:rsidDel="00000000" w:rsidR="00000000" w:rsidRPr="00000000">
        <w:rPr>
          <w:rtl w:val="0"/>
        </w:rPr>
      </w:r>
    </w:p>
    <w:p w:rsidR="00000000" w:rsidDel="00000000" w:rsidP="00000000" w:rsidRDefault="00000000" w:rsidRPr="00000000" w14:paraId="00000055">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jc w:val="both"/>
        <w:rPr>
          <w:b w:val="1"/>
          <w:smallCaps w:val="1"/>
          <w:color w:val="000000"/>
        </w:rPr>
      </w:pPr>
      <w:r w:rsidDel="00000000" w:rsidR="00000000" w:rsidRPr="00000000">
        <w:rPr>
          <w:b w:val="1"/>
          <w:smallCaps w:val="1"/>
          <w:color w:val="000000"/>
          <w:rtl w:val="0"/>
        </w:rPr>
        <w:t xml:space="preserve">KPI PERFORMANCE DEDUCTIONS</w:t>
      </w:r>
    </w:p>
    <w:p w:rsidR="00000000" w:rsidDel="00000000" w:rsidP="00000000" w:rsidRDefault="00000000" w:rsidRPr="00000000" w14:paraId="00000056">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bookmarkStart w:colFirst="0" w:colLast="0" w:name="_heading=h.2s8eyo1" w:id="11"/>
      <w:bookmarkEnd w:id="11"/>
      <w:r w:rsidDel="00000000" w:rsidR="00000000" w:rsidRPr="00000000">
        <w:rPr>
          <w:color w:val="000000"/>
          <w:rtl w:val="0"/>
        </w:rPr>
        <w:t xml:space="preserve">The Buyer shall use the Performance Monitoring Reports supplied by the Supplier to verify the calculation and accuracy of the KPI Performance Deductions, if any, applicable to each Service Period.  </w:t>
      </w:r>
    </w:p>
    <w:p w:rsidR="00000000" w:rsidDel="00000000" w:rsidP="00000000" w:rsidRDefault="00000000" w:rsidRPr="00000000" w14:paraId="00000057">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KPI Performance Deductions are a reduction of the amounts payable in respect of the Deliverables and do not include VAT. The Supplier shall set-off the value of any KPI Performance Deductions against the appropriate invoice in accordance with calculation formula in Call-Off Schedule 5 (Call-Off Pricing).</w:t>
      </w:r>
    </w:p>
    <w:p w:rsidR="00000000" w:rsidDel="00000000" w:rsidP="00000000" w:rsidRDefault="00000000" w:rsidRPr="00000000" w14:paraId="00000058">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jc w:val="both"/>
        <w:rPr>
          <w:b w:val="1"/>
          <w:smallCaps w:val="1"/>
          <w:color w:val="000000"/>
        </w:rPr>
      </w:pPr>
      <w:r w:rsidDel="00000000" w:rsidR="00000000" w:rsidRPr="00000000">
        <w:rPr>
          <w:b w:val="1"/>
          <w:smallCaps w:val="1"/>
          <w:color w:val="000000"/>
          <w:rtl w:val="0"/>
        </w:rPr>
        <w:t xml:space="preserve">KPI Performance Deduction calculation</w:t>
      </w:r>
    </w:p>
    <w:p w:rsidR="00000000" w:rsidDel="00000000" w:rsidP="00000000" w:rsidRDefault="00000000" w:rsidRPr="00000000" w14:paraId="00000059">
      <w:pPr>
        <w:keepNext w:val="1"/>
        <w:pBdr>
          <w:top w:space="0" w:sz="0" w:val="nil"/>
          <w:left w:space="0" w:sz="0" w:val="nil"/>
          <w:bottom w:space="0" w:sz="0" w:val="nil"/>
          <w:right w:space="0" w:sz="0" w:val="nil"/>
          <w:between w:space="0" w:sz="0" w:val="nil"/>
        </w:pBdr>
        <w:spacing w:after="120" w:before="120" w:line="240" w:lineRule="auto"/>
        <w:ind w:left="360" w:hanging="720"/>
        <w:jc w:val="both"/>
        <w:rPr>
          <w:b w:val="1"/>
          <w:color w:val="000000"/>
        </w:rPr>
      </w:pPr>
      <w:bookmarkStart w:colFirst="0" w:colLast="0" w:name="_heading=h.17dp8vu" w:id="12"/>
      <w:bookmarkEnd w:id="12"/>
      <w:r w:rsidDel="00000000" w:rsidR="00000000" w:rsidRPr="00000000">
        <w:rPr>
          <w:b w:val="1"/>
          <w:color w:val="000000"/>
          <w:rtl w:val="0"/>
        </w:rPr>
        <w:t xml:space="preserve">At Risk Amount</w:t>
      </w:r>
    </w:p>
    <w:p w:rsidR="00000000" w:rsidDel="00000000" w:rsidP="00000000" w:rsidRDefault="00000000" w:rsidRPr="00000000" w14:paraId="0000005A">
      <w:pPr>
        <w:keepNext w:val="1"/>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bookmarkStart w:colFirst="0" w:colLast="0" w:name="_heading=h.3rdcrjn" w:id="13"/>
      <w:bookmarkEnd w:id="13"/>
      <w:r w:rsidDel="00000000" w:rsidR="00000000" w:rsidRPr="00000000">
        <w:rPr>
          <w:color w:val="000000"/>
          <w:rtl w:val="0"/>
        </w:rPr>
        <w:t xml:space="preserve">For a Service Period, the At Risk Amount shall be calculated in accordance with Section 2 - Calculation of Monthly Value at Risk, of the ‘Paymech Calc Overview’ tab of the Payment Mechanism.</w:t>
      </w:r>
    </w:p>
    <w:p w:rsidR="00000000" w:rsidDel="00000000" w:rsidP="00000000" w:rsidRDefault="00000000" w:rsidRPr="00000000" w14:paraId="0000005B">
      <w:pPr>
        <w:keepNext w:val="1"/>
        <w:pBdr>
          <w:top w:space="0" w:sz="0" w:val="nil"/>
          <w:left w:space="0" w:sz="0" w:val="nil"/>
          <w:bottom w:space="0" w:sz="0" w:val="nil"/>
          <w:right w:space="0" w:sz="0" w:val="nil"/>
          <w:between w:space="0" w:sz="0" w:val="nil"/>
        </w:pBdr>
        <w:spacing w:after="120" w:before="120" w:line="240" w:lineRule="auto"/>
        <w:ind w:left="360" w:hanging="720"/>
        <w:jc w:val="both"/>
        <w:rPr>
          <w:b w:val="1"/>
          <w:color w:val="000000"/>
        </w:rPr>
      </w:pPr>
      <w:bookmarkStart w:colFirst="0" w:colLast="0" w:name="_heading=h.26in1rg" w:id="14"/>
      <w:bookmarkEnd w:id="14"/>
      <w:r w:rsidDel="00000000" w:rsidR="00000000" w:rsidRPr="00000000">
        <w:rPr>
          <w:b w:val="1"/>
          <w:color w:val="000000"/>
          <w:rtl w:val="0"/>
        </w:rPr>
        <w:t xml:space="preserve">KPI Category At Risk Amount </w:t>
      </w:r>
    </w:p>
    <w:p w:rsidR="00000000" w:rsidDel="00000000" w:rsidP="00000000" w:rsidRDefault="00000000" w:rsidRPr="00000000" w14:paraId="0000005C">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bookmarkStart w:colFirst="0" w:colLast="0" w:name="_heading=h.lnxbz9" w:id="15"/>
      <w:bookmarkEnd w:id="15"/>
      <w:r w:rsidDel="00000000" w:rsidR="00000000" w:rsidRPr="00000000">
        <w:rPr>
          <w:color w:val="000000"/>
          <w:rtl w:val="0"/>
        </w:rPr>
        <w:t xml:space="preserve">The KPI Category At Risk Amount shall be calculated as follows: for each KPI Category, the At Risk Amount shall be apportioned to it in accordance with the weightings in the column headed KPI Weighting in ‘Table 2.KPIs’ of the ‘Performance Criteria’ tab of the KPI Model.</w:t>
      </w:r>
    </w:p>
    <w:p w:rsidR="00000000" w:rsidDel="00000000" w:rsidP="00000000" w:rsidRDefault="00000000" w:rsidRPr="00000000" w14:paraId="0000005D">
      <w:pPr>
        <w:keepNext w:val="1"/>
        <w:pBdr>
          <w:top w:space="0" w:sz="0" w:val="nil"/>
          <w:left w:space="0" w:sz="0" w:val="nil"/>
          <w:bottom w:space="0" w:sz="0" w:val="nil"/>
          <w:right w:space="0" w:sz="0" w:val="nil"/>
          <w:between w:space="0" w:sz="0" w:val="nil"/>
        </w:pBdr>
        <w:spacing w:after="120" w:before="120" w:line="240" w:lineRule="auto"/>
        <w:ind w:left="360" w:hanging="720"/>
        <w:jc w:val="both"/>
        <w:rPr>
          <w:b w:val="1"/>
          <w:color w:val="000000"/>
        </w:rPr>
      </w:pPr>
      <w:r w:rsidDel="00000000" w:rsidR="00000000" w:rsidRPr="00000000">
        <w:rPr>
          <w:b w:val="1"/>
          <w:color w:val="000000"/>
          <w:rtl w:val="0"/>
        </w:rPr>
        <w:t xml:space="preserve">KPI At Risk Amount </w:t>
      </w:r>
    </w:p>
    <w:p w:rsidR="00000000" w:rsidDel="00000000" w:rsidP="00000000" w:rsidRDefault="00000000" w:rsidRPr="00000000" w14:paraId="0000005E">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bookmarkStart w:colFirst="0" w:colLast="0" w:name="_heading=h.35nkun2" w:id="16"/>
      <w:bookmarkEnd w:id="16"/>
      <w:r w:rsidDel="00000000" w:rsidR="00000000" w:rsidRPr="00000000">
        <w:rPr>
          <w:color w:val="000000"/>
          <w:rtl w:val="0"/>
        </w:rPr>
        <w:t xml:space="preserve">The KPI At Risk Amount shall be calculated as follows: the KPI Category At Risk Amount that applies to the KPI Category in which the relevant KPI resides, shall be further apportioned in accordance with the weightings in the column headed Measure Weighting in  ‘Table 3. Measures’ of the ‘Performance Criteria’ tab of the KPI Model.</w:t>
      </w:r>
    </w:p>
    <w:p w:rsidR="00000000" w:rsidDel="00000000" w:rsidP="00000000" w:rsidRDefault="00000000" w:rsidRPr="00000000" w14:paraId="0000005F">
      <w:pPr>
        <w:keepNext w:val="1"/>
        <w:pBdr>
          <w:top w:space="0" w:sz="0" w:val="nil"/>
          <w:left w:space="0" w:sz="0" w:val="nil"/>
          <w:bottom w:space="0" w:sz="0" w:val="nil"/>
          <w:right w:space="0" w:sz="0" w:val="nil"/>
          <w:between w:space="0" w:sz="0" w:val="nil"/>
        </w:pBdr>
        <w:spacing w:after="120" w:before="120" w:line="240" w:lineRule="auto"/>
        <w:ind w:left="360" w:hanging="720"/>
        <w:jc w:val="both"/>
        <w:rPr>
          <w:b w:val="1"/>
          <w:color w:val="000000"/>
        </w:rPr>
      </w:pPr>
      <w:r w:rsidDel="00000000" w:rsidR="00000000" w:rsidRPr="00000000">
        <w:rPr>
          <w:b w:val="1"/>
          <w:color w:val="000000"/>
          <w:rtl w:val="0"/>
        </w:rPr>
        <w:t xml:space="preserve">KPI Performance Deduction </w:t>
      </w:r>
    </w:p>
    <w:p w:rsidR="00000000" w:rsidDel="00000000" w:rsidP="00000000" w:rsidRDefault="00000000" w:rsidRPr="00000000" w14:paraId="00000060">
      <w:pPr>
        <w:keepNext w:val="1"/>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The KPI Performance Deduction to be applied to a KPI in a Service Period for a KPI Failure shall be calculated in accordance with the ‘PP Measures’ tab of the KPI Model by:</w:t>
      </w:r>
    </w:p>
    <w:p w:rsidR="00000000" w:rsidDel="00000000" w:rsidP="00000000" w:rsidRDefault="00000000" w:rsidRPr="00000000" w14:paraId="00000061">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deducting from 100% the actual standard of performance (as a percentage</w:t>
      </w:r>
      <w:r w:rsidDel="00000000" w:rsidR="00000000" w:rsidRPr="00000000">
        <w:rPr>
          <w:color w:val="000000"/>
          <w:u w:val="single"/>
          <w:rtl w:val="0"/>
        </w:rPr>
        <w:t xml:space="preserve">, calculated using the Scoring Scales tab of the KPI Model</w:t>
      </w:r>
      <w:r w:rsidDel="00000000" w:rsidR="00000000" w:rsidRPr="00000000">
        <w:rPr>
          <w:color w:val="000000"/>
          <w:rtl w:val="0"/>
        </w:rPr>
        <w:t xml:space="preserve">) achieved by the Supplier against the KPI Performance Measure in that Service Period; and </w:t>
      </w:r>
    </w:p>
    <w:p w:rsidR="00000000" w:rsidDel="00000000" w:rsidP="00000000" w:rsidRDefault="00000000" w:rsidRPr="00000000" w14:paraId="00000062">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multiplying the resultant percentage by the KPI At Risk Amount.</w:t>
      </w:r>
    </w:p>
    <w:p w:rsidR="00000000" w:rsidDel="00000000" w:rsidP="00000000" w:rsidRDefault="00000000" w:rsidRPr="00000000" w14:paraId="00000063">
      <w:pPr>
        <w:keepNext w:val="1"/>
        <w:keepLines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jc w:val="both"/>
        <w:rPr>
          <w:b w:val="1"/>
          <w:smallCaps w:val="1"/>
          <w:color w:val="000000"/>
        </w:rPr>
      </w:pPr>
      <w:bookmarkStart w:colFirst="0" w:colLast="0" w:name="_heading=h.1ksv4uv" w:id="17"/>
      <w:bookmarkEnd w:id="17"/>
      <w:r w:rsidDel="00000000" w:rsidR="00000000" w:rsidRPr="00000000">
        <w:rPr>
          <w:b w:val="1"/>
          <w:smallCaps w:val="1"/>
          <w:color w:val="000000"/>
          <w:rtl w:val="0"/>
        </w:rPr>
        <w:t xml:space="preserve">KPI PERFORMANCE DEDUCTION RATCHET</w:t>
      </w:r>
    </w:p>
    <w:p w:rsidR="00000000" w:rsidDel="00000000" w:rsidP="00000000" w:rsidRDefault="00000000" w:rsidRPr="00000000" w14:paraId="00000064">
      <w:pPr>
        <w:keepNext w:val="1"/>
        <w:keepLines w:val="1"/>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A ratchet will apply to the calculation of KPI Performance Deductions for frequent and repeated KPI Failures (</w:t>
      </w:r>
      <w:r w:rsidDel="00000000" w:rsidR="00000000" w:rsidRPr="00000000">
        <w:rPr>
          <w:b w:val="1"/>
          <w:color w:val="000000"/>
          <w:rtl w:val="0"/>
        </w:rPr>
        <w:t xml:space="preserve">"Ratchet"</w:t>
      </w:r>
      <w:r w:rsidDel="00000000" w:rsidR="00000000" w:rsidRPr="00000000">
        <w:rPr>
          <w:color w:val="000000"/>
          <w:rtl w:val="0"/>
        </w:rPr>
        <w:t xml:space="preserve">).</w:t>
      </w:r>
    </w:p>
    <w:p w:rsidR="00000000" w:rsidDel="00000000" w:rsidP="00000000" w:rsidRDefault="00000000" w:rsidRPr="00000000" w14:paraId="00000065">
      <w:pPr>
        <w:keepNext w:val="1"/>
        <w:keepLines w:val="1"/>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bookmarkStart w:colFirst="0" w:colLast="0" w:name="_heading=h.44sinio" w:id="18"/>
      <w:bookmarkEnd w:id="18"/>
      <w:r w:rsidDel="00000000" w:rsidR="00000000" w:rsidRPr="00000000">
        <w:rPr>
          <w:color w:val="000000"/>
          <w:rtl w:val="0"/>
        </w:rPr>
        <w:t xml:space="preserve">The Ratchet will be applied to the calculation of KPI Performance Deductions if one or both of the following circumstances occur:</w:t>
      </w:r>
    </w:p>
    <w:p w:rsidR="00000000" w:rsidDel="00000000" w:rsidP="00000000" w:rsidRDefault="00000000" w:rsidRPr="00000000" w14:paraId="00000066">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KPI Failures occur in relation to any one or more of the KPIs comprised in the same KPI Category in consecutive Service Periods; and</w:t>
      </w:r>
    </w:p>
    <w:p w:rsidR="00000000" w:rsidDel="00000000" w:rsidP="00000000" w:rsidRDefault="00000000" w:rsidRPr="00000000" w14:paraId="00000067">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KPI Failures occur in relation to any one or more of the KPIs comprised in the same KPI Category in any three (3) or more of the immediately preceding twelve (12) Service Periods.</w:t>
      </w:r>
    </w:p>
    <w:p w:rsidR="00000000" w:rsidDel="00000000" w:rsidP="00000000" w:rsidRDefault="00000000" w:rsidRPr="00000000" w14:paraId="00000068">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The value of the Ratchet and when it is to be applied pursuant to Paragraph 4.2, is set out in the Performance Deduction Calc tab of the Payment Mechanism.</w:t>
      </w:r>
    </w:p>
    <w:p w:rsidR="00000000" w:rsidDel="00000000" w:rsidP="00000000" w:rsidRDefault="00000000" w:rsidRPr="00000000" w14:paraId="00000069">
      <w:pPr>
        <w:keepNext w:val="1"/>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When the Ratchet is to be applied, the relevant KPI Performance Deduction shall be the number of KPI Performance Deductions that would normally accrue for an initial KPI Failure multiplied by the value of the Ratchet, for example:</w:t>
      </w:r>
    </w:p>
    <w:p w:rsidR="00000000" w:rsidDel="00000000" w:rsidP="00000000" w:rsidRDefault="00000000" w:rsidRPr="00000000" w14:paraId="0000006A">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if a KPI Failure in respect of any one or more KPIs comprised in the same KPI Category occurs in two (2) consecutive Service Periods, the KPI Performance Deductions for each of the KPI Failures in the second of such Service Periods will be 1.5 times the KPI Performance Deduction that would have been applicable to them for an initial KPI Failure; and</w:t>
      </w:r>
    </w:p>
    <w:p w:rsidR="00000000" w:rsidDel="00000000" w:rsidP="00000000" w:rsidRDefault="00000000" w:rsidRPr="00000000" w14:paraId="0000006B">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if a KPI Failure in respect of any one or more KPIs comprised in the same KPI Category occurs in any </w:t>
      </w:r>
      <w:r w:rsidDel="00000000" w:rsidR="00000000" w:rsidRPr="00000000">
        <w:rPr>
          <w:rtl w:val="0"/>
        </w:rPr>
        <w:t xml:space="preserve">three</w:t>
      </w:r>
      <w:r w:rsidDel="00000000" w:rsidR="00000000" w:rsidRPr="00000000">
        <w:rPr>
          <w:color w:val="000000"/>
          <w:rtl w:val="0"/>
        </w:rPr>
        <w:t xml:space="preserve"> (</w:t>
      </w:r>
      <w:r w:rsidDel="00000000" w:rsidR="00000000" w:rsidRPr="00000000">
        <w:rPr>
          <w:rtl w:val="0"/>
        </w:rPr>
        <w:t xml:space="preserve">3</w:t>
      </w:r>
      <w:r w:rsidDel="00000000" w:rsidR="00000000" w:rsidRPr="00000000">
        <w:rPr>
          <w:color w:val="000000"/>
          <w:rtl w:val="0"/>
        </w:rPr>
        <w:t xml:space="preserve">) Service Periods in the immediately preceding twelve (12) Service Periods, the KPI Performance Deductions for each of the KPI Failures in that </w:t>
      </w:r>
      <w:r w:rsidDel="00000000" w:rsidR="00000000" w:rsidRPr="00000000">
        <w:rPr>
          <w:rtl w:val="0"/>
        </w:rPr>
        <w:t xml:space="preserve">fourth </w:t>
      </w:r>
      <w:r w:rsidDel="00000000" w:rsidR="00000000" w:rsidRPr="00000000">
        <w:rPr>
          <w:color w:val="000000"/>
          <w:rtl w:val="0"/>
        </w:rPr>
        <w:t xml:space="preserve">Service Period will be 1.75 times the KPI Performance Deduction that would have been applicable to them for an initial KPI Failure.</w:t>
      </w:r>
    </w:p>
    <w:p w:rsidR="00000000" w:rsidDel="00000000" w:rsidP="00000000" w:rsidRDefault="00000000" w:rsidRPr="00000000" w14:paraId="0000006C">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If more than one Ratchet applies to a KPI Failure in the same Service Period, the Ratchet resulting in the higher KPI Performance Deduction will be used.</w:t>
      </w:r>
    </w:p>
    <w:p w:rsidR="00000000" w:rsidDel="00000000" w:rsidP="00000000" w:rsidRDefault="00000000" w:rsidRPr="00000000" w14:paraId="0000006D">
      <w:pPr>
        <w:keepNext w:val="1"/>
        <w:keepLines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jc w:val="both"/>
        <w:rPr>
          <w:b w:val="1"/>
          <w:smallCaps w:val="1"/>
          <w:color w:val="000000"/>
        </w:rPr>
      </w:pPr>
      <w:bookmarkStart w:colFirst="0" w:colLast="0" w:name="_heading=h.2jxsxqh" w:id="19"/>
      <w:bookmarkEnd w:id="19"/>
      <w:r w:rsidDel="00000000" w:rsidR="00000000" w:rsidRPr="00000000">
        <w:rPr>
          <w:b w:val="1"/>
          <w:smallCaps w:val="1"/>
          <w:color w:val="000000"/>
          <w:rtl w:val="0"/>
        </w:rPr>
        <w:t xml:space="preserve">KPI PERFORMANCE DEDUCTION EARN BACK</w:t>
      </w:r>
    </w:p>
    <w:p w:rsidR="00000000" w:rsidDel="00000000" w:rsidP="00000000" w:rsidRDefault="00000000" w:rsidRPr="00000000" w14:paraId="0000006E">
      <w:pPr>
        <w:keepNext w:val="1"/>
        <w:keepLines w:val="1"/>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bookmarkStart w:colFirst="0" w:colLast="0" w:name="_heading=h.z337ya" w:id="20"/>
      <w:bookmarkEnd w:id="20"/>
      <w:r w:rsidDel="00000000" w:rsidR="00000000" w:rsidRPr="00000000">
        <w:rPr>
          <w:color w:val="000000"/>
          <w:rtl w:val="0"/>
        </w:rPr>
        <w:t xml:space="preserve">If:</w:t>
      </w:r>
    </w:p>
    <w:p w:rsidR="00000000" w:rsidDel="00000000" w:rsidP="00000000" w:rsidRDefault="00000000" w:rsidRPr="00000000" w14:paraId="0000006F">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bookmarkStart w:colFirst="0" w:colLast="0" w:name="_heading=h.3j2qqm3" w:id="21"/>
      <w:bookmarkEnd w:id="21"/>
      <w:r w:rsidDel="00000000" w:rsidR="00000000" w:rsidRPr="00000000">
        <w:rPr>
          <w:color w:val="000000"/>
          <w:rtl w:val="0"/>
        </w:rPr>
        <w:t xml:space="preserve">in respect of a Service Period the Supplier has been liable to pay (and has paid) a KPI Performance Deduction in relation to a KPI Category; and</w:t>
      </w:r>
    </w:p>
    <w:p w:rsidR="00000000" w:rsidDel="00000000" w:rsidP="00000000" w:rsidRDefault="00000000" w:rsidRPr="00000000" w14:paraId="00000070">
      <w:pPr>
        <w:keepNext w:val="1"/>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bookmarkStart w:colFirst="0" w:colLast="0" w:name="_heading=h.1y810tw" w:id="22"/>
      <w:bookmarkEnd w:id="22"/>
      <w:r w:rsidDel="00000000" w:rsidR="00000000" w:rsidRPr="00000000">
        <w:rPr>
          <w:color w:val="000000"/>
          <w:rtl w:val="0"/>
        </w:rPr>
        <w:t xml:space="preserve">in the next Service Period, the Supplier is not liable to pay a KPI Performance Deduction in relation to the same KPI Category that was the subject of such KPI Performance Deductions in the previous Service Period,</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120" w:before="120" w:line="240" w:lineRule="auto"/>
        <w:ind w:left="709" w:firstLine="10.999999999999943"/>
        <w:jc w:val="both"/>
        <w:rPr>
          <w:color w:val="000000"/>
        </w:rPr>
      </w:pPr>
      <w:r w:rsidDel="00000000" w:rsidR="00000000" w:rsidRPr="00000000">
        <w:rPr>
          <w:color w:val="000000"/>
          <w:rtl w:val="0"/>
        </w:rPr>
        <w:t xml:space="preserve">the Supplier shall be entitled to recover Earn Back subject always to the Earn Back Cap.</w:t>
      </w:r>
    </w:p>
    <w:p w:rsidR="00000000" w:rsidDel="00000000" w:rsidP="00000000" w:rsidRDefault="00000000" w:rsidRPr="00000000" w14:paraId="00000072">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The amount of the Earn Back shall be calculated as the product of the KPI Performance Deduction paid in the previous Service Period in relation to the relevant KPI Category and the Earn Back %.</w:t>
      </w:r>
    </w:p>
    <w:p w:rsidR="00000000" w:rsidDel="00000000" w:rsidP="00000000" w:rsidRDefault="00000000" w:rsidRPr="00000000" w14:paraId="00000073">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The Supplier shall recover any Earn Back to which it is entitled under this Paragraph 5 in accordance with Call-Off Schedule 5 (Call-Off Pricing).</w:t>
      </w:r>
    </w:p>
    <w:p w:rsidR="00000000" w:rsidDel="00000000" w:rsidP="00000000" w:rsidRDefault="00000000" w:rsidRPr="00000000" w14:paraId="00000074">
      <w:pPr>
        <w:keepNext w:val="1"/>
        <w:keepLines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jc w:val="both"/>
        <w:rPr>
          <w:b w:val="1"/>
          <w:smallCaps w:val="1"/>
          <w:color w:val="000000"/>
        </w:rPr>
      </w:pPr>
      <w:r w:rsidDel="00000000" w:rsidR="00000000" w:rsidRPr="00000000">
        <w:rPr>
          <w:b w:val="1"/>
          <w:smallCaps w:val="1"/>
          <w:color w:val="000000"/>
          <w:rtl w:val="0"/>
        </w:rPr>
        <w:t xml:space="preserve">Critical KPI Failure</w:t>
      </w:r>
    </w:p>
    <w:p w:rsidR="00000000" w:rsidDel="00000000" w:rsidP="00000000" w:rsidRDefault="00000000" w:rsidRPr="00000000" w14:paraId="00000075">
      <w:pPr>
        <w:keepNext w:val="1"/>
        <w:keepLines w:val="1"/>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A Critical KPI Failure shall arise when one or both of the following takes place:</w:t>
      </w:r>
    </w:p>
    <w:p w:rsidR="00000000" w:rsidDel="00000000" w:rsidP="00000000" w:rsidRDefault="00000000" w:rsidRPr="00000000" w14:paraId="00000076">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bookmarkStart w:colFirst="0" w:colLast="0" w:name="_heading=h.4i7ojhp" w:id="23"/>
      <w:bookmarkEnd w:id="23"/>
      <w:r w:rsidDel="00000000" w:rsidR="00000000" w:rsidRPr="00000000">
        <w:rPr>
          <w:color w:val="000000"/>
          <w:rtl w:val="0"/>
        </w:rPr>
        <w:t xml:space="preserve">a KPI Failure in respect of any one or more of the KPIs comprised in the same KPI Category occurs in three (3) consecutive Service Periods;</w:t>
      </w:r>
    </w:p>
    <w:p w:rsidR="00000000" w:rsidDel="00000000" w:rsidP="00000000" w:rsidRDefault="00000000" w:rsidRPr="00000000" w14:paraId="00000077">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a KPI Failure in respect of any one or more of the KPIs comprised in the same KPI Category occurs in any five (5) Service Periods in the immediately preceding twelve (12) Service Periods.</w:t>
      </w:r>
    </w:p>
    <w:p w:rsidR="00000000" w:rsidDel="00000000" w:rsidP="00000000" w:rsidRDefault="00000000" w:rsidRPr="00000000" w14:paraId="00000078">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A Critical KPI Failure shall constitute a material Default of this Contract by the Supplier.</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b w:val="1"/>
          <w:smallCaps w:val="1"/>
          <w:color w:val="000000"/>
        </w:rPr>
      </w:pPr>
      <w:bookmarkStart w:colFirst="0" w:colLast="0" w:name="_heading=h.1ci93xb" w:id="24"/>
      <w:bookmarkEnd w:id="24"/>
      <w:r w:rsidDel="00000000" w:rsidR="00000000" w:rsidRPr="00000000">
        <w:br w:type="page"/>
      </w:r>
      <w:r w:rsidDel="00000000" w:rsidR="00000000" w:rsidRPr="00000000">
        <w:rPr>
          <w:rtl w:val="0"/>
        </w:rPr>
      </w:r>
    </w:p>
    <w:p w:rsidR="00000000" w:rsidDel="00000000" w:rsidP="00000000" w:rsidRDefault="00000000" w:rsidRPr="00000000" w14:paraId="0000007B">
      <w:pPr>
        <w:keepNext w:val="1"/>
        <w:pBdr>
          <w:top w:space="0" w:sz="0" w:val="nil"/>
          <w:left w:space="0" w:sz="0" w:val="nil"/>
          <w:bottom w:space="0" w:sz="0" w:val="nil"/>
          <w:right w:space="0" w:sz="0" w:val="nil"/>
          <w:between w:space="0" w:sz="0" w:val="nil"/>
        </w:pBdr>
        <w:spacing w:after="240" w:line="240" w:lineRule="auto"/>
        <w:jc w:val="center"/>
        <w:rPr>
          <w:b w:val="1"/>
          <w:smallCaps w:val="1"/>
          <w:color w:val="000000"/>
        </w:rPr>
      </w:pPr>
      <w:r w:rsidDel="00000000" w:rsidR="00000000" w:rsidRPr="00000000">
        <w:rPr>
          <w:b w:val="1"/>
          <w:smallCaps w:val="1"/>
          <w:color w:val="000000"/>
          <w:rtl w:val="0"/>
        </w:rPr>
        <w:t xml:space="preserve">PART B: PERFORMANCE MONITORING</w:t>
      </w:r>
    </w:p>
    <w:p w:rsidR="00000000" w:rsidDel="00000000" w:rsidP="00000000" w:rsidRDefault="00000000" w:rsidRPr="00000000" w14:paraId="0000007C">
      <w:pPr>
        <w:keepNext w:val="1"/>
        <w:numPr>
          <w:ilvl w:val="0"/>
          <w:numId w:val="2"/>
        </w:numPr>
        <w:pBdr>
          <w:top w:space="0" w:sz="0" w:val="nil"/>
          <w:left w:space="0" w:sz="0" w:val="nil"/>
          <w:bottom w:space="0" w:sz="0" w:val="nil"/>
          <w:right w:space="0" w:sz="0" w:val="nil"/>
          <w:between w:space="0" w:sz="0" w:val="nil"/>
        </w:pBdr>
        <w:tabs>
          <w:tab w:val="left" w:leader="none" w:pos="142"/>
        </w:tabs>
        <w:spacing w:after="120" w:before="240" w:line="240" w:lineRule="auto"/>
        <w:ind w:left="360" w:hanging="360"/>
        <w:jc w:val="both"/>
        <w:rPr>
          <w:b w:val="1"/>
          <w:smallCaps w:val="1"/>
          <w:color w:val="000000"/>
        </w:rPr>
      </w:pPr>
      <w:bookmarkStart w:colFirst="0" w:colLast="0" w:name="_heading=h.3whwml4" w:id="25"/>
      <w:bookmarkEnd w:id="25"/>
      <w:r w:rsidDel="00000000" w:rsidR="00000000" w:rsidRPr="00000000">
        <w:rPr>
          <w:b w:val="1"/>
          <w:smallCaps w:val="1"/>
          <w:color w:val="000000"/>
          <w:rtl w:val="0"/>
        </w:rPr>
        <w:t xml:space="preserve">PERFORMANCE MONITORING AND PERFORMANCE REVIEW</w:t>
      </w:r>
    </w:p>
    <w:p w:rsidR="00000000" w:rsidDel="00000000" w:rsidP="00000000" w:rsidRDefault="00000000" w:rsidRPr="00000000" w14:paraId="0000007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1440" w:right="0" w:hanging="731"/>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bn6wsx" w:id="26"/>
      <w:bookmarkEnd w:id="2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Within twenty (20) Working Days of the Start Date the Supplier shall provide the Buyer with details of how the process in respect of the monitoring and reporting of KPIs will operate between the Parties and the Parties will endeavour to agree such process as soon as reasonably possible.</w:t>
      </w:r>
    </w:p>
    <w:p w:rsidR="00000000" w:rsidDel="00000000" w:rsidP="00000000" w:rsidRDefault="00000000" w:rsidRPr="00000000" w14:paraId="0000007E">
      <w:pPr>
        <w:keepNext w:val="1"/>
        <w:numPr>
          <w:ilvl w:val="1"/>
          <w:numId w:val="2"/>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The Supplier shall provide the Buyer with accurate and complete performance monitoring reports ("</w:t>
      </w:r>
      <w:r w:rsidDel="00000000" w:rsidR="00000000" w:rsidRPr="00000000">
        <w:rPr>
          <w:b w:val="1"/>
          <w:color w:val="000000"/>
          <w:rtl w:val="0"/>
        </w:rPr>
        <w:t xml:space="preserve">Performance Monitoring Reports</w:t>
      </w:r>
      <w:r w:rsidDel="00000000" w:rsidR="00000000" w:rsidRPr="00000000">
        <w:rPr>
          <w:color w:val="000000"/>
          <w:rtl w:val="0"/>
        </w:rPr>
        <w:t xml:space="preserve">") in accordance with the process and timescales agreed pursuant to paragraph 1.1 of Part B of this Schedule which shall contain, as a minimum, the following information in respect of the relevant Service Period just ended:</w:t>
      </w:r>
    </w:p>
    <w:p w:rsidR="00000000" w:rsidDel="00000000" w:rsidP="00000000" w:rsidRDefault="00000000" w:rsidRPr="00000000" w14:paraId="0000007F">
      <w:pPr>
        <w:numPr>
          <w:ilvl w:val="2"/>
          <w:numId w:val="2"/>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for each KPI, the actual performance achieved in respect of that KPI for the relevant Service Period;</w:t>
      </w:r>
    </w:p>
    <w:p w:rsidR="00000000" w:rsidDel="00000000" w:rsidP="00000000" w:rsidRDefault="00000000" w:rsidRPr="00000000" w14:paraId="00000080">
      <w:pPr>
        <w:numPr>
          <w:ilvl w:val="2"/>
          <w:numId w:val="2"/>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a summary of all KPI Failures that occurred during that Service Period;</w:t>
      </w:r>
    </w:p>
    <w:p w:rsidR="00000000" w:rsidDel="00000000" w:rsidP="00000000" w:rsidRDefault="00000000" w:rsidRPr="00000000" w14:paraId="00000081">
      <w:pPr>
        <w:numPr>
          <w:ilvl w:val="2"/>
          <w:numId w:val="2"/>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details of any Critical KPI Failures;</w:t>
      </w:r>
    </w:p>
    <w:p w:rsidR="00000000" w:rsidDel="00000000" w:rsidP="00000000" w:rsidRDefault="00000000" w:rsidRPr="00000000" w14:paraId="00000082">
      <w:pPr>
        <w:numPr>
          <w:ilvl w:val="2"/>
          <w:numId w:val="2"/>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for any repeat failures, actions taken to resolve the underlying cause and prevent recurrence;</w:t>
      </w:r>
    </w:p>
    <w:p w:rsidR="00000000" w:rsidDel="00000000" w:rsidP="00000000" w:rsidRDefault="00000000" w:rsidRPr="00000000" w14:paraId="00000083">
      <w:pPr>
        <w:numPr>
          <w:ilvl w:val="2"/>
          <w:numId w:val="2"/>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the KPI Performance Deductions to be applied in respect of the relevant period, indicating the KPI Failures to which the KPI Performance Deductions relate; and</w:t>
      </w:r>
    </w:p>
    <w:p w:rsidR="00000000" w:rsidDel="00000000" w:rsidP="00000000" w:rsidRDefault="00000000" w:rsidRPr="00000000" w14:paraId="00000084">
      <w:pPr>
        <w:numPr>
          <w:ilvl w:val="2"/>
          <w:numId w:val="2"/>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bookmarkStart w:colFirst="0" w:colLast="0" w:name="_heading=h.qsh70q" w:id="27"/>
      <w:bookmarkEnd w:id="27"/>
      <w:r w:rsidDel="00000000" w:rsidR="00000000" w:rsidRPr="00000000">
        <w:rPr>
          <w:color w:val="000000"/>
          <w:rtl w:val="0"/>
        </w:rPr>
        <w:t xml:space="preserve">such other details as the Buyer may reasonably require from time to time.</w:t>
      </w:r>
    </w:p>
    <w:p w:rsidR="00000000" w:rsidDel="00000000" w:rsidP="00000000" w:rsidRDefault="00000000" w:rsidRPr="00000000" w14:paraId="00000085">
      <w:pPr>
        <w:keepNext w:val="1"/>
        <w:numPr>
          <w:ilvl w:val="1"/>
          <w:numId w:val="2"/>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The Parties shall attend meetings to discuss Performance Monitoring Reports ("</w:t>
      </w:r>
      <w:r w:rsidDel="00000000" w:rsidR="00000000" w:rsidRPr="00000000">
        <w:rPr>
          <w:b w:val="1"/>
          <w:color w:val="000000"/>
          <w:rtl w:val="0"/>
        </w:rPr>
        <w:t xml:space="preserve">Performance Review Meetings</w:t>
      </w:r>
      <w:r w:rsidDel="00000000" w:rsidR="00000000" w:rsidRPr="00000000">
        <w:rPr>
          <w:color w:val="000000"/>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086">
      <w:pPr>
        <w:numPr>
          <w:ilvl w:val="2"/>
          <w:numId w:val="2"/>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take place within one (1) week of the Performance Monitoring Reports being issued by the Supplier at such location and time (within normal business hours) as the Buyer shall reasonably require;</w:t>
      </w:r>
    </w:p>
    <w:p w:rsidR="00000000" w:rsidDel="00000000" w:rsidP="00000000" w:rsidRDefault="00000000" w:rsidRPr="00000000" w14:paraId="00000087">
      <w:pPr>
        <w:numPr>
          <w:ilvl w:val="2"/>
          <w:numId w:val="2"/>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be attended by the Supplier's Representative and the Buyer’s Representative; and</w:t>
      </w:r>
    </w:p>
    <w:p w:rsidR="00000000" w:rsidDel="00000000" w:rsidP="00000000" w:rsidRDefault="00000000" w:rsidRPr="00000000" w14:paraId="00000088">
      <w:pPr>
        <w:numPr>
          <w:ilvl w:val="2"/>
          <w:numId w:val="2"/>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089">
      <w:pPr>
        <w:numPr>
          <w:ilvl w:val="1"/>
          <w:numId w:val="2"/>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08A">
      <w:pPr>
        <w:numPr>
          <w:ilvl w:val="1"/>
          <w:numId w:val="2"/>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bookmarkStart w:colFirst="0" w:colLast="0" w:name="_heading=h.3as4poj" w:id="28"/>
      <w:bookmarkEnd w:id="28"/>
      <w:r w:rsidDel="00000000" w:rsidR="00000000" w:rsidRPr="00000000">
        <w:rPr>
          <w:color w:val="000000"/>
          <w:rtl w:val="0"/>
        </w:rPr>
        <w:t xml:space="preserve">The Supplier shall provide to the Buyer such documentation as the Buyer may reasonably require in order to verify the level of the performance by the Supplier and the calculations of the amount of KPI Performance Deductions for any specified Service Period.</w:t>
      </w:r>
    </w:p>
    <w:p w:rsidR="00000000" w:rsidDel="00000000" w:rsidP="00000000" w:rsidRDefault="00000000" w:rsidRPr="00000000" w14:paraId="0000008B">
      <w:pPr>
        <w:keepNext w:val="1"/>
        <w:numPr>
          <w:ilvl w:val="0"/>
          <w:numId w:val="2"/>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jc w:val="both"/>
        <w:rPr>
          <w:b w:val="1"/>
          <w:smallCaps w:val="1"/>
          <w:color w:val="000000"/>
        </w:rPr>
      </w:pPr>
      <w:r w:rsidDel="00000000" w:rsidR="00000000" w:rsidRPr="00000000">
        <w:rPr>
          <w:b w:val="1"/>
          <w:smallCaps w:val="1"/>
          <w:color w:val="000000"/>
          <w:rtl w:val="0"/>
        </w:rPr>
        <w:t xml:space="preserve">SATISFACTION SURVEYS</w:t>
      </w:r>
    </w:p>
    <w:p w:rsidR="00000000" w:rsidDel="00000000" w:rsidP="00000000" w:rsidRDefault="00000000" w:rsidRPr="00000000" w14:paraId="0000008C">
      <w:pPr>
        <w:numPr>
          <w:ilvl w:val="1"/>
          <w:numId w:val="2"/>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bookmarkStart w:colFirst="0" w:colLast="0" w:name="_heading=h.1pxezwc" w:id="29"/>
      <w:bookmarkEnd w:id="29"/>
      <w:r w:rsidDel="00000000" w:rsidR="00000000" w:rsidRPr="00000000">
        <w:rPr>
          <w:color w:val="000000"/>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5">
    <w:pPr>
      <w:tabs>
        <w:tab w:val="center" w:leader="none" w:pos="4513"/>
        <w:tab w:val="right" w:leader="none" w:pos="9016"/>
      </w:tabs>
      <w:spacing w:after="0" w:lineRule="auto"/>
      <w:rPr/>
    </w:pPr>
    <w:r w:rsidDel="00000000" w:rsidR="00000000" w:rsidRPr="00000000">
      <w:rPr>
        <w:sz w:val="16"/>
        <w:szCs w:val="16"/>
        <w:rtl w:val="0"/>
      </w:rPr>
      <w:t xml:space="preserve">Project Version 1.0</w:t>
    </w:r>
    <w:r w:rsidDel="00000000" w:rsidR="00000000" w:rsidRPr="00000000">
      <w:rPr>
        <w:rFonts w:ascii="Times New Roman" w:cs="Times New Roman" w:eastAsia="Times New Roman" w:hAnsi="Times New Roman"/>
        <w:rtl w:val="0"/>
      </w:rPr>
      <w:tab/>
    </w: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Further Competition under Lot 1C of the RM3830 Facilities Management Marketplace</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 Ref: RM3830 (Model Version 3.0)</w:t>
      <w:tab/>
      <w:tab/>
      <w:t xml:space="preserve">Crown Copyright 2022</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D">
    <w:pPr>
      <w:tabs>
        <w:tab w:val="center" w:leader="none" w:pos="4513"/>
        <w:tab w:val="right" w:leader="none" w:pos="9026"/>
      </w:tabs>
      <w:spacing w:after="0" w:line="240" w:lineRule="auto"/>
      <w:rPr>
        <w:b w:val="1"/>
      </w:rPr>
    </w:pPr>
    <w:r w:rsidDel="00000000" w:rsidR="00000000" w:rsidRPr="00000000">
      <w:rPr>
        <w:b w:val="1"/>
        <w:rtl w:val="0"/>
      </w:rPr>
      <w:t xml:space="preserve">Customer Comfort &amp; Safety (Provision of Hard FM Services) South &amp; London</w:t>
    </w:r>
    <w:r w:rsidDel="00000000" w:rsidR="00000000" w:rsidRPr="00000000">
      <w:drawing>
        <wp:anchor allowOverlap="1" behindDoc="0" distB="0" distT="0" distL="114300" distR="114300" hidden="0" layoutInCell="1" locked="0" relativeHeight="0" simplePos="0">
          <wp:simplePos x="0" y="0"/>
          <wp:positionH relativeFrom="column">
            <wp:posOffset>4648200</wp:posOffset>
          </wp:positionH>
          <wp:positionV relativeFrom="paragraph">
            <wp:posOffset>-208914</wp:posOffset>
          </wp:positionV>
          <wp:extent cx="793750" cy="732155"/>
          <wp:effectExtent b="0" l="0" r="0" t="0"/>
          <wp:wrapSquare wrapText="bothSides" distB="0" distT="0" distL="114300" distR="114300"/>
          <wp:docPr id="23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93750" cy="732155"/>
                  </a:xfrm>
                  <a:prstGeom prst="rect"/>
                  <a:ln/>
                </pic:spPr>
              </pic:pic>
            </a:graphicData>
          </a:graphic>
        </wp:anchor>
      </w:drawing>
    </w:r>
  </w:p>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b w:val="1"/>
        <w:color w:val="000000"/>
        <w:rtl w:val="0"/>
      </w:rPr>
      <w:t xml:space="preserve">Call-Off Schedule 14 (Key Performance Indicators)</w:t>
    </w:r>
    <w:r w:rsidDel="00000000" w:rsidR="00000000" w:rsidRPr="00000000">
      <w:rPr>
        <w:rtl w:val="0"/>
      </w:rPr>
    </w:r>
  </w:p>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Crown Copyright 2022</w:t>
    </w:r>
  </w:p>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ind w:left="360" w:hanging="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4"/>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DefinitionNumbering1" w:customStyle="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pPr>
      <w:spacing w:after="0" w:line="240" w:lineRule="auto"/>
    </w:pPr>
    <w:rPr>
      <w:sz w:val="20"/>
      <w:szCs w:val="20"/>
    </w:rPr>
    <w:tblPr>
      <w:tblStyleRowBandSize w:val="1"/>
      <w:tblStyleColBandSize w:val="1"/>
      <w:tblCellMar>
        <w:left w:w="115.0" w:type="dxa"/>
        <w:right w:w="115.0" w:type="dxa"/>
      </w:tblCellMar>
    </w:tblPr>
  </w:style>
  <w:style w:type="paragraph" w:styleId="TOC1">
    <w:name w:val="toc 1"/>
    <w:basedOn w:val="Normal"/>
    <w:next w:val="Normal"/>
    <w:autoRedefine w:val="1"/>
    <w:uiPriority w:val="39"/>
    <w:semiHidden w:val="1"/>
    <w:unhideWhenUsed w:val="1"/>
    <w:rsid w:val="00586F4B"/>
    <w:pPr>
      <w:spacing w:after="100"/>
    </w:pPr>
  </w:style>
  <w:style w:type="paragraph" w:styleId="TOC4">
    <w:name w:val="toc 4"/>
    <w:basedOn w:val="Normal"/>
    <w:next w:val="Normal"/>
    <w:autoRedefine w:val="1"/>
    <w:uiPriority w:val="39"/>
    <w:semiHidden w:val="1"/>
    <w:unhideWhenUsed w:val="1"/>
    <w:rsid w:val="00586F4B"/>
    <w:pPr>
      <w:spacing w:after="100"/>
      <w:ind w:left="660"/>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0pKyZQgnC5YaYf9vpWTVriJuFoQ==">CgMxLjAyCGguZ2pkZ3hzMgloLjJwMmNzcnkyCWguMzBqMHpsbDIJaC4xZm9iOXRlMgloLjN6bnlzaDcyCWguMmV0OTJwMDIIaC50eWpjd3QyCWguM2R5NnZrbTIJaC40OXgyaWs1MgloLjF0M2g1c2YyCWguNGQzNG9nODIJaC4yczhleW8xMgloLjE3ZHA4dnUyCWguM3JkY3JqbjIJaC4yNmluMXJnMghoLmxueGJ6OTIJaC4zNW5rdW4yMgloLjFrc3Y0dXYyCWguNDRzaW5pbzIJaC4yanhzeHFoMghoLnozMzd5YTIJaC4zajJxcW0zMgloLjF5ODEwdHcyCWguNGk3b2pocDIJaC4xY2k5M3hiMgloLjN3aHdtbDQyCWguMmJuNndzeDIIaC5xc2g3MHEyCWguM2FzNHBvajIJaC4xcHhlendjOAByITFiUDlKZVczMEd0WlR2dzMxM0RNS2g3YU9DeVF1aFpOa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2022-09-23T02:22:00Z</dcterms:created>
  <dc:creator>"Nicole Phillips" &lt;nicole.phillips@gpa.gov.uk&gt;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